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44A18" w14:textId="44078411" w:rsidR="004B56FF" w:rsidRPr="000720E5" w:rsidRDefault="004B56FF" w:rsidP="00DA7FED">
      <w:pPr>
        <w:spacing w:after="0"/>
        <w:ind w:left="1988" w:hanging="1988"/>
        <w:rPr>
          <w:rFonts w:ascii="Arial" w:hAnsi="Arial" w:cs="Arial"/>
          <w:b/>
          <w:bCs/>
          <w:sz w:val="24"/>
        </w:rPr>
      </w:pPr>
      <w:r w:rsidRPr="000720E5">
        <w:rPr>
          <w:rFonts w:ascii="Arial" w:hAnsi="Arial" w:cs="Arial"/>
          <w:b/>
          <w:bCs/>
          <w:sz w:val="24"/>
        </w:rPr>
        <w:t xml:space="preserve">3GPP TSG RAN WG1 Meeting </w:t>
      </w:r>
      <w:r>
        <w:rPr>
          <w:rFonts w:ascii="Arial" w:hAnsi="Arial" w:cs="Arial"/>
          <w:b/>
          <w:bCs/>
          <w:sz w:val="24"/>
        </w:rPr>
        <w:t>#9</w:t>
      </w:r>
      <w:r w:rsidR="00DA7FED">
        <w:rPr>
          <w:rFonts w:ascii="Arial" w:hAnsi="Arial" w:cs="Arial"/>
          <w:b/>
          <w:bCs/>
          <w:sz w:val="24"/>
        </w:rPr>
        <w:t>5</w:t>
      </w:r>
      <w:r w:rsidRPr="000720E5">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DA7FED" w:rsidRPr="00DA7FED">
        <w:rPr>
          <w:rFonts w:ascii="Arial" w:hAnsi="Arial" w:cs="Arial"/>
          <w:b/>
          <w:bCs/>
          <w:sz w:val="24"/>
        </w:rPr>
        <w:t>R1-1812501</w:t>
      </w:r>
    </w:p>
    <w:p w14:paraId="1F5B5815" w14:textId="2525116B" w:rsidR="004B56FF" w:rsidRDefault="00F42D92" w:rsidP="00DA7FED">
      <w:pPr>
        <w:spacing w:after="0"/>
        <w:ind w:left="1988" w:hanging="1988"/>
        <w:rPr>
          <w:rFonts w:ascii="Arial" w:hAnsi="Arial" w:cs="Arial"/>
          <w:b/>
          <w:bCs/>
          <w:sz w:val="24"/>
        </w:rPr>
      </w:pPr>
      <w:r>
        <w:rPr>
          <w:rFonts w:ascii="Arial" w:hAnsi="Arial" w:cs="Arial"/>
          <w:b/>
          <w:bCs/>
          <w:sz w:val="24"/>
        </w:rPr>
        <w:t>Spokane</w:t>
      </w:r>
      <w:r w:rsidRPr="000614A7">
        <w:rPr>
          <w:rFonts w:ascii="Arial" w:hAnsi="Arial" w:cs="Arial"/>
          <w:b/>
          <w:bCs/>
          <w:sz w:val="24"/>
        </w:rPr>
        <w:t>,</w:t>
      </w:r>
      <w:r>
        <w:rPr>
          <w:rFonts w:ascii="Arial" w:hAnsi="Arial" w:cs="Arial"/>
          <w:b/>
          <w:bCs/>
          <w:sz w:val="24"/>
        </w:rPr>
        <w:t xml:space="preserve"> WA,</w:t>
      </w:r>
      <w:r w:rsidRPr="000614A7">
        <w:rPr>
          <w:rFonts w:ascii="Arial" w:hAnsi="Arial" w:cs="Arial"/>
          <w:b/>
          <w:bCs/>
          <w:sz w:val="24"/>
        </w:rPr>
        <w:t xml:space="preserve"> </w:t>
      </w:r>
      <w:r>
        <w:rPr>
          <w:rFonts w:ascii="Arial" w:hAnsi="Arial" w:cs="Arial"/>
          <w:b/>
          <w:bCs/>
          <w:sz w:val="24"/>
        </w:rPr>
        <w:t>USA</w:t>
      </w:r>
      <w:r w:rsidRPr="000614A7">
        <w:rPr>
          <w:rFonts w:ascii="Arial" w:hAnsi="Arial" w:cs="Arial"/>
          <w:b/>
          <w:bCs/>
          <w:sz w:val="24"/>
        </w:rPr>
        <w:t xml:space="preserve">, </w:t>
      </w:r>
      <w:r>
        <w:rPr>
          <w:rFonts w:ascii="Arial" w:hAnsi="Arial" w:cs="Arial"/>
          <w:b/>
          <w:bCs/>
          <w:sz w:val="24"/>
        </w:rPr>
        <w:t>November 12</w:t>
      </w:r>
      <w:r w:rsidRPr="000614A7">
        <w:rPr>
          <w:rFonts w:ascii="Arial" w:hAnsi="Arial" w:cs="Arial"/>
          <w:b/>
          <w:bCs/>
          <w:sz w:val="24"/>
          <w:vertAlign w:val="superscript"/>
        </w:rPr>
        <w:t>th</w:t>
      </w:r>
      <w:r>
        <w:rPr>
          <w:rFonts w:ascii="Arial" w:hAnsi="Arial" w:cs="Arial"/>
          <w:b/>
          <w:bCs/>
          <w:sz w:val="24"/>
        </w:rPr>
        <w:t xml:space="preserve"> </w:t>
      </w:r>
      <w:r w:rsidRPr="000614A7">
        <w:rPr>
          <w:rFonts w:ascii="Arial" w:hAnsi="Arial" w:cs="Arial"/>
          <w:b/>
          <w:bCs/>
          <w:sz w:val="24"/>
        </w:rPr>
        <w:t>– 1</w:t>
      </w:r>
      <w:r>
        <w:rPr>
          <w:rFonts w:ascii="Arial" w:hAnsi="Arial" w:cs="Arial"/>
          <w:b/>
          <w:bCs/>
          <w:sz w:val="24"/>
        </w:rPr>
        <w:t>6</w:t>
      </w:r>
      <w:r w:rsidRPr="000614A7">
        <w:rPr>
          <w:rFonts w:ascii="Arial" w:hAnsi="Arial" w:cs="Arial"/>
          <w:b/>
          <w:bCs/>
          <w:sz w:val="24"/>
          <w:vertAlign w:val="superscript"/>
        </w:rPr>
        <w:t>th</w:t>
      </w:r>
      <w:r w:rsidRPr="000614A7">
        <w:rPr>
          <w:rFonts w:ascii="Arial" w:hAnsi="Arial" w:cs="Arial"/>
          <w:b/>
          <w:bCs/>
          <w:sz w:val="24"/>
        </w:rPr>
        <w:t>, 2018</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5B30D6E3" w:rsidR="004B56FF" w:rsidRPr="007E5A98" w:rsidRDefault="004B56FF" w:rsidP="00DA7FED">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DA7FED" w:rsidRPr="00DA7FED">
        <w:rPr>
          <w:rFonts w:ascii="Arial" w:hAnsi="Arial" w:cs="Arial"/>
          <w:b/>
          <w:sz w:val="24"/>
        </w:rPr>
        <w:t>On PDCCH enhancements for eURLLC</w:t>
      </w:r>
    </w:p>
    <w:p w14:paraId="71D16AC9" w14:textId="45CA3B92" w:rsidR="004B56FF" w:rsidRPr="007E5A98" w:rsidRDefault="004B56FF" w:rsidP="00DA7FED">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93348D" w:rsidRPr="0093348D">
        <w:rPr>
          <w:rFonts w:ascii="Arial" w:hAnsi="Arial" w:cs="Arial"/>
          <w:b/>
          <w:sz w:val="24"/>
        </w:rPr>
        <w:t>7.</w:t>
      </w:r>
      <w:r w:rsidR="003C0107">
        <w:rPr>
          <w:rFonts w:ascii="Arial" w:hAnsi="Arial" w:cs="Arial"/>
          <w:b/>
          <w:sz w:val="24"/>
        </w:rPr>
        <w:t>2.6.</w:t>
      </w:r>
      <w:r w:rsidR="00DA7FED">
        <w:rPr>
          <w:rFonts w:ascii="Arial" w:hAnsi="Arial" w:cs="Arial"/>
          <w:b/>
          <w:sz w:val="24"/>
        </w:rPr>
        <w:t>1.1</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1F8A50F4" w14:textId="17467F93" w:rsidR="003C0107" w:rsidRDefault="00DD6B94" w:rsidP="00DA7FED">
      <w:pPr>
        <w:rPr>
          <w:rFonts w:eastAsia="Malgun Gothic"/>
          <w:lang w:eastAsia="ko-KR"/>
        </w:rPr>
      </w:pPr>
      <w:r>
        <w:rPr>
          <w:rFonts w:eastAsia="Malgun Gothic"/>
          <w:lang w:eastAsia="ko-KR"/>
        </w:rPr>
        <w:t xml:space="preserve">Based on the </w:t>
      </w:r>
      <w:r w:rsidR="001D0D21">
        <w:rPr>
          <w:rFonts w:eastAsia="Malgun Gothic"/>
          <w:lang w:eastAsia="ko-KR"/>
        </w:rPr>
        <w:t xml:space="preserve">offline/online discussions and agreements made during RAN1 #94 regarding the </w:t>
      </w:r>
      <w:r w:rsidR="00FB7E30">
        <w:rPr>
          <w:rFonts w:eastAsia="Malgun Gothic"/>
          <w:lang w:eastAsia="ko-KR"/>
        </w:rPr>
        <w:t xml:space="preserve">potential directions for </w:t>
      </w:r>
      <w:r w:rsidR="001D0D21">
        <w:rPr>
          <w:rFonts w:eastAsia="Malgun Gothic"/>
          <w:lang w:eastAsia="ko-KR"/>
        </w:rPr>
        <w:t xml:space="preserve">physical layer enhancements </w:t>
      </w:r>
      <w:r w:rsidR="00FB7E30">
        <w:rPr>
          <w:rFonts w:eastAsia="Malgun Gothic"/>
          <w:lang w:eastAsia="ko-KR"/>
        </w:rPr>
        <w:t xml:space="preserve">in </w:t>
      </w:r>
      <w:r w:rsidR="001D0D21">
        <w:rPr>
          <w:rFonts w:eastAsia="Malgun Gothic"/>
          <w:lang w:eastAsia="ko-KR"/>
        </w:rPr>
        <w:t>eURLLC Rel-16</w:t>
      </w:r>
      <w:r w:rsidR="00FB7E30">
        <w:rPr>
          <w:rFonts w:eastAsia="Malgun Gothic"/>
          <w:lang w:eastAsia="ko-KR"/>
        </w:rPr>
        <w:t xml:space="preserve"> [1]</w:t>
      </w:r>
      <w:r w:rsidR="001D0D21">
        <w:rPr>
          <w:rFonts w:eastAsia="Malgun Gothic"/>
          <w:lang w:eastAsia="ko-KR"/>
        </w:rPr>
        <w:t xml:space="preserve">, </w:t>
      </w:r>
      <w:r>
        <w:rPr>
          <w:rFonts w:eastAsia="Malgun Gothic"/>
          <w:lang w:eastAsia="ko-KR"/>
        </w:rPr>
        <w:t xml:space="preserve">in this contribution we discuss further details </w:t>
      </w:r>
      <w:r w:rsidR="00FB7E30">
        <w:rPr>
          <w:rFonts w:eastAsia="Malgun Gothic"/>
          <w:lang w:eastAsia="ko-KR"/>
        </w:rPr>
        <w:t xml:space="preserve">on whether/how </w:t>
      </w:r>
      <w:r w:rsidR="00CD7D72">
        <w:rPr>
          <w:rFonts w:eastAsia="Malgun Gothic"/>
          <w:lang w:eastAsia="ko-KR"/>
        </w:rPr>
        <w:t>to realize</w:t>
      </w:r>
      <w:r>
        <w:rPr>
          <w:rFonts w:eastAsia="Malgun Gothic"/>
          <w:lang w:eastAsia="ko-KR"/>
        </w:rPr>
        <w:t xml:space="preserve"> </w:t>
      </w:r>
      <w:r w:rsidR="00DA7FED">
        <w:rPr>
          <w:rFonts w:eastAsia="Malgun Gothic"/>
          <w:lang w:eastAsia="ko-KR"/>
        </w:rPr>
        <w:t xml:space="preserve">PDCCH </w:t>
      </w:r>
      <w:r w:rsidRPr="00ED3088">
        <w:rPr>
          <w:rFonts w:eastAsia="Malgun Gothic"/>
          <w:lang w:eastAsia="ko-KR"/>
        </w:rPr>
        <w:t>enhancements</w:t>
      </w:r>
      <w:r w:rsidR="00DA7FED">
        <w:rPr>
          <w:rFonts w:eastAsia="Malgun Gothic"/>
          <w:lang w:eastAsia="ko-KR"/>
        </w:rPr>
        <w:t xml:space="preserve"> in eURLLC</w:t>
      </w:r>
      <w:r>
        <w:rPr>
          <w:rFonts w:eastAsia="Malgun Gothic"/>
          <w:lang w:eastAsia="ko-KR"/>
        </w:rPr>
        <w:t>.</w:t>
      </w:r>
    </w:p>
    <w:p w14:paraId="7822B02C" w14:textId="647C4C03" w:rsidR="006103CC" w:rsidRDefault="006103CC" w:rsidP="006103CC">
      <w:r>
        <w:t xml:space="preserve">Particularly, we discuss different approaches to enhance the performance of PDCCH for URLLC use cases in Rel-16. Three main categories have been defined as the focus of the study: </w:t>
      </w:r>
      <w:r w:rsidRPr="001E06A4">
        <w:rPr>
          <w:bCs/>
        </w:rPr>
        <w:t>Compact DCI, PDCCH repetition</w:t>
      </w:r>
      <w:r>
        <w:rPr>
          <w:bCs/>
        </w:rPr>
        <w:t>s</w:t>
      </w:r>
      <w:r w:rsidRPr="001E06A4">
        <w:rPr>
          <w:bCs/>
        </w:rPr>
        <w:t>,</w:t>
      </w:r>
      <w:r>
        <w:rPr>
          <w:bCs/>
        </w:rPr>
        <w:t xml:space="preserve"> and</w:t>
      </w:r>
      <w:r w:rsidRPr="001E06A4">
        <w:rPr>
          <w:bCs/>
        </w:rPr>
        <w:t xml:space="preserve"> increased PDCCH monitoring capability</w:t>
      </w:r>
      <w:r>
        <w:rPr>
          <w:bCs/>
          <w:i/>
          <w:iCs/>
          <w:sz w:val="20"/>
          <w:szCs w:val="20"/>
        </w:rPr>
        <w:t xml:space="preserve">. </w:t>
      </w:r>
      <w:r>
        <w:t>We discuss each of these approaches in the following sections.</w:t>
      </w:r>
    </w:p>
    <w:p w14:paraId="0C4276C2" w14:textId="04ECB0B6" w:rsidR="00600954" w:rsidRPr="006103CC" w:rsidRDefault="005E6FA9" w:rsidP="006103C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I</w:t>
      </w:r>
      <w:r w:rsidR="00AF7C9B" w:rsidRPr="006103CC">
        <w:rPr>
          <w:rFonts w:ascii="Arial" w:hAnsi="Arial"/>
          <w:b w:val="0"/>
          <w:bCs w:val="0"/>
          <w:sz w:val="36"/>
          <w:szCs w:val="20"/>
        </w:rPr>
        <w:t>ntroducing compact DCI format</w:t>
      </w:r>
      <w:r w:rsidRPr="006103CC">
        <w:rPr>
          <w:rFonts w:ascii="Arial" w:hAnsi="Arial"/>
          <w:b w:val="0"/>
          <w:bCs w:val="0"/>
          <w:sz w:val="36"/>
          <w:szCs w:val="20"/>
        </w:rPr>
        <w:t>(s)</w:t>
      </w:r>
      <w:r w:rsidR="00AF7C9B" w:rsidRPr="006103CC">
        <w:rPr>
          <w:rFonts w:ascii="Arial" w:hAnsi="Arial"/>
          <w:b w:val="0"/>
          <w:bCs w:val="0"/>
          <w:sz w:val="36"/>
          <w:szCs w:val="20"/>
        </w:rPr>
        <w:t xml:space="preserve"> </w:t>
      </w:r>
    </w:p>
    <w:p w14:paraId="2D12C82F" w14:textId="793A20EA" w:rsidR="00324F04" w:rsidRDefault="002C3BEF" w:rsidP="00A4283C">
      <w:r>
        <w:t>C</w:t>
      </w:r>
      <w:r w:rsidR="00324F04" w:rsidRPr="005E6FA9">
        <w:t>onsidering the</w:t>
      </w:r>
      <w:r w:rsidR="00A4283C" w:rsidRPr="005E6FA9">
        <w:t xml:space="preserve"> agreed</w:t>
      </w:r>
      <w:r w:rsidR="00324F04" w:rsidRPr="005E6FA9">
        <w:t xml:space="preserve"> use cases for Rel-16 URLLC</w:t>
      </w:r>
      <w:r w:rsidR="006D0FA8">
        <w:t xml:space="preserve"> [2]</w:t>
      </w:r>
      <w:r w:rsidR="00324F04" w:rsidRPr="005E6FA9">
        <w:t xml:space="preserve">, introducing a compact DCI </w:t>
      </w:r>
      <w:r w:rsidR="00A4283C" w:rsidRPr="005E6FA9">
        <w:t>may</w:t>
      </w:r>
      <w:r w:rsidR="00324F04" w:rsidRPr="005E6FA9">
        <w:t xml:space="preserve"> not </w:t>
      </w:r>
      <w:r w:rsidR="00A4283C" w:rsidRPr="005E6FA9">
        <w:t xml:space="preserve">be </w:t>
      </w:r>
      <w:r w:rsidR="00324F04" w:rsidRPr="005E6FA9">
        <w:t xml:space="preserve">essential </w:t>
      </w:r>
      <w:r w:rsidR="00A4283C" w:rsidRPr="005E6FA9">
        <w:t>to</w:t>
      </w:r>
      <w:r w:rsidR="00324F04" w:rsidRPr="005E6FA9">
        <w:t xml:space="preserve"> achiev</w:t>
      </w:r>
      <w:r w:rsidR="00A4283C" w:rsidRPr="005E6FA9">
        <w:t>e</w:t>
      </w:r>
      <w:r w:rsidR="00324F04" w:rsidRPr="005E6FA9">
        <w:t xml:space="preserve"> the reliability targets</w:t>
      </w:r>
      <w:r>
        <w:t xml:space="preserve"> and/or reducing L1 signaling OH by reducing DCI payload size</w:t>
      </w:r>
      <w:r w:rsidR="00324F04" w:rsidRPr="005E6FA9">
        <w:t xml:space="preserve">. </w:t>
      </w:r>
      <w:r w:rsidR="00A4283C" w:rsidRPr="005E6FA9">
        <w:t>At the same time</w:t>
      </w:r>
      <w:r w:rsidR="00324F04" w:rsidRPr="005E6FA9">
        <w:t>, such addition may still improve the scheduling flexibility and/or the blocking performance.</w:t>
      </w:r>
      <w:r w:rsidR="00A4283C" w:rsidRPr="005E6FA9">
        <w:t xml:space="preserve"> However, there are t</w:t>
      </w:r>
      <w:r w:rsidR="00324F04" w:rsidRPr="005E6FA9">
        <w:t>rade-off</w:t>
      </w:r>
      <w:r w:rsidR="00A4283C" w:rsidRPr="005E6FA9">
        <w:t>s</w:t>
      </w:r>
      <w:r w:rsidR="00324F04" w:rsidRPr="005E6FA9">
        <w:t xml:space="preserve"> between </w:t>
      </w:r>
      <w:r w:rsidR="00A4283C" w:rsidRPr="005E6FA9">
        <w:t xml:space="preserve">the </w:t>
      </w:r>
      <w:r w:rsidR="00324F04" w:rsidRPr="005E6FA9">
        <w:t>improved blocking performance and reduction in dynamic scheduling flexibility</w:t>
      </w:r>
      <w:r w:rsidR="00A4283C" w:rsidRPr="005E6FA9">
        <w:t xml:space="preserve">, forming </w:t>
      </w:r>
      <w:r w:rsidR="00324F04" w:rsidRPr="005E6FA9">
        <w:t xml:space="preserve">a key factor </w:t>
      </w:r>
      <w:r w:rsidR="00A4283C" w:rsidRPr="005E6FA9">
        <w:t>to determine</w:t>
      </w:r>
      <w:r w:rsidR="00324F04" w:rsidRPr="005E6FA9">
        <w:t xml:space="preserve"> the effectiveness of </w:t>
      </w:r>
      <w:r w:rsidR="00A4283C" w:rsidRPr="005E6FA9">
        <w:t xml:space="preserve">introducing </w:t>
      </w:r>
      <w:r w:rsidR="00324F04" w:rsidRPr="005E6FA9">
        <w:t>compact DCI formats</w:t>
      </w:r>
      <w:r w:rsidR="00A4283C" w:rsidRPr="005E6FA9">
        <w:t>.</w:t>
      </w:r>
    </w:p>
    <w:p w14:paraId="0ECBBFBC" w14:textId="5C1B2A2D" w:rsidR="003729E4" w:rsidRPr="00881E43" w:rsidRDefault="003729E4" w:rsidP="00122E13">
      <w:pPr>
        <w:rPr>
          <w:b/>
        </w:rPr>
      </w:pPr>
      <w:r w:rsidRPr="00881E43">
        <w:rPr>
          <w:b/>
        </w:rPr>
        <w:t>Observat</w:t>
      </w:r>
      <w:r w:rsidR="003F2C07" w:rsidRPr="00881E43">
        <w:rPr>
          <w:b/>
        </w:rPr>
        <w:t>ion 1</w:t>
      </w:r>
    </w:p>
    <w:p w14:paraId="26B8D97B" w14:textId="35DE2DEC" w:rsidR="003729E4" w:rsidRPr="00881E43" w:rsidRDefault="003729E4" w:rsidP="00881E43">
      <w:pPr>
        <w:pStyle w:val="ListParagraph"/>
        <w:numPr>
          <w:ilvl w:val="0"/>
          <w:numId w:val="23"/>
        </w:numPr>
        <w:rPr>
          <w:i/>
        </w:rPr>
      </w:pPr>
      <w:r w:rsidRPr="00881E43">
        <w:rPr>
          <w:i/>
        </w:rPr>
        <w:t xml:space="preserve">Benefits from a compact DCI format </w:t>
      </w:r>
      <w:r w:rsidR="003F2C07" w:rsidRPr="00881E43">
        <w:rPr>
          <w:i/>
        </w:rPr>
        <w:t xml:space="preserve">towards improving PDCCH reliability or blocking performance, as against the loss in scheduling flexibility, are marginal. </w:t>
      </w:r>
    </w:p>
    <w:p w14:paraId="6582E9F8" w14:textId="0D81180B" w:rsidR="00AF7C9B" w:rsidRDefault="002C3BEF" w:rsidP="00122E13">
      <w:r>
        <w:t xml:space="preserve">From </w:t>
      </w:r>
      <w:r w:rsidR="00B31CF6">
        <w:t xml:space="preserve">a </w:t>
      </w:r>
      <w:r>
        <w:t>different perspective</w:t>
      </w:r>
      <w:r w:rsidR="00536923">
        <w:t xml:space="preserve">, the </w:t>
      </w:r>
      <w:r w:rsidR="00AF7C9B">
        <w:t xml:space="preserve">necessity of </w:t>
      </w:r>
      <w:r w:rsidR="00122E13">
        <w:t>defining</w:t>
      </w:r>
      <w:r w:rsidR="00E52677">
        <w:t xml:space="preserve"> a compact DCI format </w:t>
      </w:r>
      <w:r w:rsidR="00122E13">
        <w:t xml:space="preserve">may </w:t>
      </w:r>
      <w:r w:rsidR="00B77C2E">
        <w:t>need to be motivated by</w:t>
      </w:r>
      <w:r w:rsidR="00AF7C9B">
        <w:t xml:space="preserve"> the use cases</w:t>
      </w:r>
      <w:r w:rsidR="00122E13">
        <w:t xml:space="preserve"> introduced by </w:t>
      </w:r>
      <w:r w:rsidR="00B77C2E">
        <w:t xml:space="preserve">the prioritized </w:t>
      </w:r>
      <w:r w:rsidR="00122E13">
        <w:t>URLLC services and applications</w:t>
      </w:r>
      <w:r w:rsidR="00AF7C9B">
        <w:t xml:space="preserve">. </w:t>
      </w:r>
    </w:p>
    <w:p w14:paraId="32A1FDBA" w14:textId="2C840902" w:rsidR="00117834" w:rsidRDefault="003729E4" w:rsidP="00703EE4">
      <w:r>
        <w:t>For example, for use cases with aperiodic traffic,</w:t>
      </w:r>
      <w:r w:rsidR="00117834">
        <w:t xml:space="preserve"> it may be </w:t>
      </w:r>
      <w:r w:rsidR="00536923">
        <w:t xml:space="preserve">beneficial </w:t>
      </w:r>
      <w:r w:rsidR="000020E9">
        <w:t>to partition the corresponding overall required signaling</w:t>
      </w:r>
      <w:r w:rsidR="00117834">
        <w:t xml:space="preserve"> into</w:t>
      </w:r>
      <w:r w:rsidR="000020E9">
        <w:t xml:space="preserve"> a DCI format with</w:t>
      </w:r>
      <w:r w:rsidR="00117834">
        <w:t xml:space="preserve"> two stages</w:t>
      </w:r>
      <w:r w:rsidR="00D22430">
        <w:t>,</w:t>
      </w:r>
      <w:r w:rsidR="00117834">
        <w:t xml:space="preserve"> </w:t>
      </w:r>
      <w:r w:rsidR="00D22430">
        <w:t>where t</w:t>
      </w:r>
      <w:r w:rsidR="00117834">
        <w:t>he equivalent functionalities of the RRC indications</w:t>
      </w:r>
      <w:r w:rsidR="000020E9">
        <w:t xml:space="preserve"> </w:t>
      </w:r>
      <w:r w:rsidR="00536923">
        <w:t xml:space="preserve">for CG PUSCH or DL SPS </w:t>
      </w:r>
      <w:r w:rsidR="000020E9">
        <w:t>(e.g., less dynamic indications)</w:t>
      </w:r>
      <w:r w:rsidR="00117834">
        <w:t xml:space="preserve"> </w:t>
      </w:r>
      <w:r w:rsidR="000020E9">
        <w:t>can be</w:t>
      </w:r>
      <w:r w:rsidR="00117834">
        <w:t xml:space="preserve"> performed by means of the first stage of the DCI, while the activation equivalent functionality </w:t>
      </w:r>
      <w:r w:rsidR="000020E9">
        <w:t>and more dynamic information can be</w:t>
      </w:r>
      <w:r w:rsidR="00117834">
        <w:t xml:space="preserve"> supported by the second DCI stage. </w:t>
      </w:r>
    </w:p>
    <w:p w14:paraId="31ECBC9C" w14:textId="2802A5D5" w:rsidR="004316B6" w:rsidRPr="005E6FA9" w:rsidRDefault="00703EE4" w:rsidP="00575FF3">
      <w:r w:rsidRPr="005E6FA9">
        <w:t>While f</w:t>
      </w:r>
      <w:r w:rsidR="004316B6" w:rsidRPr="005E6FA9">
        <w:t xml:space="preserve">or periodic traffic profiles, PDCCH is not a bottleneck </w:t>
      </w:r>
      <w:r w:rsidRPr="005E6FA9">
        <w:t xml:space="preserve">(since </w:t>
      </w:r>
      <w:r w:rsidR="004316B6" w:rsidRPr="005E6FA9">
        <w:t>SPS-based options are avail</w:t>
      </w:r>
      <w:r w:rsidRPr="005E6FA9">
        <w:t xml:space="preserve">able), for aperiodic traffic profiles, such two-stage DCI design can achieve better trade-off between the blocking performance and </w:t>
      </w:r>
      <w:r w:rsidR="00575FF3">
        <w:t xml:space="preserve">the </w:t>
      </w:r>
      <w:r w:rsidRPr="005E6FA9">
        <w:t xml:space="preserve">scheduling flexibility compared to the case where RRC signaling </w:t>
      </w:r>
      <w:r w:rsidR="005E6FA9" w:rsidRPr="005E6FA9">
        <w:t>along with compact DCI</w:t>
      </w:r>
      <w:r w:rsidRPr="005E6FA9">
        <w:t xml:space="preserve"> </w:t>
      </w:r>
      <w:r w:rsidR="005E6FA9" w:rsidRPr="005E6FA9">
        <w:t>is considered</w:t>
      </w:r>
      <w:r w:rsidRPr="005E6FA9">
        <w:t>.</w:t>
      </w:r>
    </w:p>
    <w:p w14:paraId="7BC65B99" w14:textId="426A9B11" w:rsidR="00703EE4" w:rsidRDefault="00703EE4" w:rsidP="005E6FA9">
      <w:r>
        <w:t>Particularly, c</w:t>
      </w:r>
      <w:r w:rsidRPr="00072DDA">
        <w:t xml:space="preserve">ompact DCI design can be realized by the means of two-stage DCI design, e.g., to support potentially new scheduling approach that falls in between </w:t>
      </w:r>
      <w:r>
        <w:t xml:space="preserve">fully </w:t>
      </w:r>
      <w:r w:rsidRPr="00072DDA">
        <w:t>dynamic scheduling and SPS/Type 2 CG.</w:t>
      </w:r>
      <w:r>
        <w:t xml:space="preserve"> Such approach, allows a burst of transmission and reception opportunities to be triggered by a less frequent DCI (i.e., the first stage DCI), and a </w:t>
      </w:r>
      <w:r w:rsidR="003729E4">
        <w:t xml:space="preserve">much </w:t>
      </w:r>
      <w:r>
        <w:t xml:space="preserve">smaller, potentially more frequent DCI (i.e., the second DCI stage), can trigger the actual transmissions. As such, </w:t>
      </w:r>
      <w:r w:rsidRPr="005E6FA9">
        <w:t xml:space="preserve">transmission of a fewer number of large DCI formats </w:t>
      </w:r>
      <w:r w:rsidRPr="005E6FA9">
        <w:lastRenderedPageBreak/>
        <w:t>helps to reduce the blocking probability, while maintaining certain level of flexibility in dynamic scheduling.</w:t>
      </w:r>
    </w:p>
    <w:p w14:paraId="13A81F31" w14:textId="5FED726C" w:rsidR="003F2C07" w:rsidRPr="00266496" w:rsidRDefault="003F2C07" w:rsidP="003F2C07">
      <w:pPr>
        <w:rPr>
          <w:b/>
        </w:rPr>
      </w:pPr>
      <w:r>
        <w:rPr>
          <w:b/>
        </w:rPr>
        <w:t>Proposal</w:t>
      </w:r>
      <w:r w:rsidRPr="00266496">
        <w:rPr>
          <w:b/>
        </w:rPr>
        <w:t xml:space="preserve"> 1</w:t>
      </w:r>
    </w:p>
    <w:p w14:paraId="62F95E6B" w14:textId="1AB80E3F" w:rsidR="003F2C07" w:rsidRPr="00881E43" w:rsidRDefault="003F2C07" w:rsidP="00881E43">
      <w:pPr>
        <w:pStyle w:val="3GPPNormalText"/>
        <w:numPr>
          <w:ilvl w:val="0"/>
          <w:numId w:val="23"/>
        </w:numPr>
        <w:rPr>
          <w:i/>
        </w:rPr>
      </w:pPr>
      <w:r w:rsidRPr="00881E43">
        <w:rPr>
          <w:i/>
          <w:sz w:val="22"/>
          <w:szCs w:val="22"/>
        </w:rPr>
        <w:t>RAN1 to study potential two-stage DCI designs towards achieving better trade-off between the blocking performance and the scheduling flexibility</w:t>
      </w:r>
      <w:r>
        <w:rPr>
          <w:i/>
          <w:sz w:val="22"/>
          <w:szCs w:val="22"/>
        </w:rPr>
        <w:t xml:space="preserve"> considering aperiodic traffic use cases</w:t>
      </w:r>
      <w:r w:rsidRPr="00881E43">
        <w:rPr>
          <w:i/>
          <w:sz w:val="22"/>
          <w:szCs w:val="22"/>
        </w:rPr>
        <w:t>.</w:t>
      </w:r>
    </w:p>
    <w:p w14:paraId="46E1ED8C" w14:textId="727B4539" w:rsidR="002C77D0" w:rsidRPr="006103CC" w:rsidRDefault="005E6FA9" w:rsidP="006103C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M</w:t>
      </w:r>
      <w:r w:rsidR="0082344B" w:rsidRPr="006103CC">
        <w:rPr>
          <w:rFonts w:ascii="Arial" w:hAnsi="Arial"/>
          <w:b w:val="0"/>
          <w:bCs w:val="0"/>
          <w:sz w:val="36"/>
          <w:szCs w:val="20"/>
        </w:rPr>
        <w:t xml:space="preserve">ultiple PDCCH transmissions </w:t>
      </w:r>
    </w:p>
    <w:p w14:paraId="18DA6662" w14:textId="605A4F3E" w:rsidR="000D0C2C" w:rsidRDefault="0082344B" w:rsidP="000C45B5">
      <w:r>
        <w:t xml:space="preserve">This </w:t>
      </w:r>
      <w:r w:rsidR="006103CC">
        <w:t>class</w:t>
      </w:r>
      <w:r>
        <w:t xml:space="preserve"> of PDCCH enhancement</w:t>
      </w:r>
      <w:r w:rsidR="00CC6227">
        <w:t xml:space="preserve"> (</w:t>
      </w:r>
      <w:r w:rsidR="000C45B5">
        <w:t>also known as</w:t>
      </w:r>
      <w:r w:rsidR="00CC6227">
        <w:t xml:space="preserve"> PDCCH repetitions)</w:t>
      </w:r>
      <w:r>
        <w:t xml:space="preserve">, can be realized </w:t>
      </w:r>
      <w:r w:rsidR="00A51393">
        <w:t>by means of</w:t>
      </w:r>
      <w:r>
        <w:t xml:space="preserve"> various </w:t>
      </w:r>
      <w:r w:rsidR="00A51393">
        <w:t>techniques</w:t>
      </w:r>
      <w:r>
        <w:t xml:space="preserve">. </w:t>
      </w:r>
      <w:r w:rsidR="003F2C07">
        <w:t>There can be</w:t>
      </w:r>
      <w:r>
        <w:t xml:space="preserve"> different flavors of designing multiple PDCCH transmissions, e.g., in terms of </w:t>
      </w:r>
    </w:p>
    <w:p w14:paraId="778605C9" w14:textId="40F29FDD" w:rsidR="000D0C2C" w:rsidRDefault="000D0C2C" w:rsidP="008974D5">
      <w:pPr>
        <w:pStyle w:val="ListParagraph"/>
        <w:numPr>
          <w:ilvl w:val="0"/>
          <w:numId w:val="6"/>
        </w:numPr>
      </w:pPr>
      <w:r>
        <w:t>Transmission</w:t>
      </w:r>
      <w:r w:rsidR="00A51393">
        <w:t xml:space="preserve"> assumptions and configurations</w:t>
      </w:r>
      <w:r w:rsidR="00C43D45">
        <w:t xml:space="preserve"> (e.g., time/frequency resources, TCI/QCL/TRP assumptions, etc</w:t>
      </w:r>
      <w:r w:rsidR="00B77C2E">
        <w:t xml:space="preserve">.); </w:t>
      </w:r>
    </w:p>
    <w:p w14:paraId="66A61C9F" w14:textId="0D3723A3" w:rsidR="000D0C2C" w:rsidRDefault="000D0C2C" w:rsidP="008974D5">
      <w:pPr>
        <w:pStyle w:val="ListParagraph"/>
        <w:numPr>
          <w:ilvl w:val="0"/>
          <w:numId w:val="6"/>
        </w:numPr>
      </w:pPr>
      <w:r>
        <w:t>The</w:t>
      </w:r>
      <w:r w:rsidR="00A51393">
        <w:t xml:space="preserve"> UE behavior on receive processing</w:t>
      </w:r>
      <w:r w:rsidR="00C43D45">
        <w:t xml:space="preserve"> (e.g., information combining from different transmissions, discarding the further transmissions once decode one, etc</w:t>
      </w:r>
      <w:r w:rsidR="00B77C2E">
        <w:t xml:space="preserve">.); </w:t>
      </w:r>
    </w:p>
    <w:p w14:paraId="6B052F93" w14:textId="4C51E3FD" w:rsidR="000D0C2C" w:rsidRDefault="00DD6B94" w:rsidP="00DD6B94">
      <w:pPr>
        <w:pStyle w:val="ListParagraph"/>
        <w:numPr>
          <w:ilvl w:val="0"/>
          <w:numId w:val="6"/>
        </w:numPr>
      </w:pPr>
      <w:r>
        <w:t xml:space="preserve">Carrying same or different </w:t>
      </w:r>
      <w:r w:rsidR="000D0C2C" w:rsidRPr="000D0C2C">
        <w:t>schedul</w:t>
      </w:r>
      <w:r>
        <w:t>ing information</w:t>
      </w:r>
      <w:r w:rsidR="003729E4">
        <w:t>;</w:t>
      </w:r>
      <w:r w:rsidR="00B77C2E">
        <w:t xml:space="preserve"> </w:t>
      </w:r>
    </w:p>
    <w:p w14:paraId="1405F0FF" w14:textId="6F2288BF" w:rsidR="000D0C2C" w:rsidRDefault="000D0C2C" w:rsidP="008974D5">
      <w:pPr>
        <w:pStyle w:val="ListParagraph"/>
        <w:numPr>
          <w:ilvl w:val="0"/>
          <w:numId w:val="6"/>
        </w:numPr>
      </w:pPr>
      <w:r>
        <w:t>W</w:t>
      </w:r>
      <w:r w:rsidR="00A51393">
        <w:t>hether multiple</w:t>
      </w:r>
      <w:r w:rsidR="00B77C2E">
        <w:t>/repetitions of</w:t>
      </w:r>
      <w:r w:rsidR="00A51393">
        <w:t xml:space="preserve"> control channel transmissions accompany associated </w:t>
      </w:r>
      <w:r w:rsidR="00B77C2E">
        <w:t xml:space="preserve">transmissions/repetitions of the </w:t>
      </w:r>
      <w:r w:rsidR="00A51393">
        <w:t>data channel</w:t>
      </w:r>
      <w:r w:rsidR="00B77C2E">
        <w:t xml:space="preserve">, at least for the case of PDSCH; </w:t>
      </w:r>
    </w:p>
    <w:p w14:paraId="777A14B4" w14:textId="5F096881" w:rsidR="00A51393" w:rsidRDefault="000D0C2C" w:rsidP="008974D5">
      <w:pPr>
        <w:pStyle w:val="ListParagraph"/>
        <w:numPr>
          <w:ilvl w:val="0"/>
          <w:numId w:val="6"/>
        </w:numPr>
      </w:pPr>
      <w:r>
        <w:t>W</w:t>
      </w:r>
      <w:r w:rsidR="00A51393">
        <w:t>hether/how to acknowledge the multiple transmissions of the control and/or the associated scheduled data</w:t>
      </w:r>
      <w:r w:rsidR="00C43D45">
        <w:t xml:space="preserve"> (</w:t>
      </w:r>
      <w:r w:rsidR="0088583E">
        <w:t xml:space="preserve">e.g., </w:t>
      </w:r>
      <w:r w:rsidR="00C43D45">
        <w:t xml:space="preserve">considerations </w:t>
      </w:r>
      <w:r w:rsidR="0088583E">
        <w:t>on</w:t>
      </w:r>
      <w:r w:rsidR="00C43D45">
        <w:t xml:space="preserve"> HARQ)</w:t>
      </w:r>
      <w:r w:rsidR="00A51393">
        <w:t xml:space="preserve">, etc. </w:t>
      </w:r>
    </w:p>
    <w:p w14:paraId="161C4E37" w14:textId="77777777" w:rsidR="00D3037A" w:rsidRDefault="00FC3C1E" w:rsidP="006C7448">
      <w:r>
        <w:t>It is important to note that</w:t>
      </w:r>
      <w:r w:rsidR="00A51393">
        <w:t xml:space="preserve"> each of these techniques may target to address different performance aspects, e.g., PDCCH reliability, blocking performance, scheduling flexibility and/or robustness, overall system capacity, latency, etc. </w:t>
      </w:r>
      <w:r w:rsidR="00EE5E03">
        <w:t>Depending on the identified target aspect(s) to improve, the proper technique(s) may be further studied and considered.</w:t>
      </w:r>
      <w:r w:rsidR="00B77C2E">
        <w:t xml:space="preserve"> For instance, during Rel-15 work on URLLC, it was concluded that PDCCH repetitions may not be necessary at least when targeting BLER of 10</w:t>
      </w:r>
      <w:r w:rsidR="00B77C2E" w:rsidRPr="00CF1FDA">
        <w:rPr>
          <w:vertAlign w:val="superscript"/>
        </w:rPr>
        <w:t>-5</w:t>
      </w:r>
      <w:r w:rsidR="00B77C2E">
        <w:t xml:space="preserve"> from a purely link-level perspective. </w:t>
      </w:r>
    </w:p>
    <w:p w14:paraId="30932ECC" w14:textId="56F15DC9" w:rsidR="00031EE5" w:rsidRDefault="002E6D80" w:rsidP="006C7448">
      <w:pPr>
        <w:rPr>
          <w:bCs/>
        </w:rPr>
      </w:pPr>
      <w:r>
        <w:t xml:space="preserve">While </w:t>
      </w:r>
      <w:r w:rsidR="00B77C2E">
        <w:t>different aspects need to be carefully studied in light of the newly identified use cases and objectiv</w:t>
      </w:r>
      <w:r>
        <w:t>es for Rel-16 studies on eURLLC, the reliability results</w:t>
      </w:r>
      <w:r w:rsidR="00457B09">
        <w:t xml:space="preserve"> </w:t>
      </w:r>
      <w:r w:rsidR="00154219">
        <w:t xml:space="preserve">shown </w:t>
      </w:r>
      <w:r w:rsidR="00457B09">
        <w:t xml:space="preserve">in </w:t>
      </w:r>
      <w:r w:rsidR="006C7448">
        <w:fldChar w:fldCharType="begin"/>
      </w:r>
      <w:r w:rsidR="006C7448">
        <w:instrText xml:space="preserve"> REF _Ref525733811 \h </w:instrText>
      </w:r>
      <w:r w:rsidR="006C7448">
        <w:fldChar w:fldCharType="separate"/>
      </w:r>
      <w:r w:rsidR="006C7448" w:rsidRPr="00154A98">
        <w:t xml:space="preserve">Figure </w:t>
      </w:r>
      <w:r w:rsidR="006C7448">
        <w:rPr>
          <w:noProof/>
        </w:rPr>
        <w:t>1</w:t>
      </w:r>
      <w:r w:rsidR="006C7448">
        <w:fldChar w:fldCharType="end"/>
      </w:r>
      <w:r w:rsidR="00154219">
        <w:t>, together with the targe</w:t>
      </w:r>
      <w:r w:rsidR="00FB7E30">
        <w:t>t SINR value analyzed in Annex-A</w:t>
      </w:r>
      <w:r w:rsidR="00154219">
        <w:t xml:space="preserve">, </w:t>
      </w:r>
      <w:r w:rsidR="00457B09">
        <w:t xml:space="preserve">suggest that </w:t>
      </w:r>
      <w:r w:rsidR="00457B09" w:rsidRPr="00556F18">
        <w:rPr>
          <w:bCs/>
        </w:rPr>
        <w:t xml:space="preserve">PDCCH repetitions may not be necessary just to achieve target reliability down to </w:t>
      </w:r>
      <w:r w:rsidR="00457B09" w:rsidRPr="00556F18">
        <w:t>10</w:t>
      </w:r>
      <w:r w:rsidR="00457B09" w:rsidRPr="00556F18">
        <w:rPr>
          <w:vertAlign w:val="superscript"/>
        </w:rPr>
        <w:t>-6</w:t>
      </w:r>
      <w:r w:rsidR="00457B09" w:rsidRPr="00556F18">
        <w:rPr>
          <w:bCs/>
        </w:rPr>
        <w:t>. As such, combining of information across multiple received repetitions may not be necessary unless additional margins need to be addressed.</w:t>
      </w:r>
    </w:p>
    <w:p w14:paraId="76A029ED" w14:textId="77777777" w:rsidR="00881E43" w:rsidRPr="00881E43" w:rsidRDefault="00881E43" w:rsidP="00881E43">
      <w:pPr>
        <w:autoSpaceDE/>
        <w:autoSpaceDN/>
        <w:adjustRightInd/>
        <w:snapToGrid/>
        <w:spacing w:after="0"/>
        <w:rPr>
          <w:b/>
          <w:bCs/>
        </w:rPr>
      </w:pPr>
      <w:r w:rsidRPr="00881E43">
        <w:rPr>
          <w:b/>
          <w:bCs/>
        </w:rPr>
        <w:t>Observation 2</w:t>
      </w:r>
    </w:p>
    <w:p w14:paraId="79755C8F" w14:textId="77777777" w:rsidR="00881E43" w:rsidRPr="00881E43" w:rsidRDefault="00881E43" w:rsidP="00881E43">
      <w:pPr>
        <w:pStyle w:val="ListParagraph"/>
        <w:numPr>
          <w:ilvl w:val="0"/>
          <w:numId w:val="23"/>
        </w:numPr>
        <w:autoSpaceDE/>
        <w:autoSpaceDN/>
        <w:adjustRightInd/>
        <w:snapToGrid/>
        <w:spacing w:after="0"/>
        <w:rPr>
          <w:bCs/>
          <w:i/>
        </w:rPr>
      </w:pPr>
      <w:r w:rsidRPr="00881E43">
        <w:rPr>
          <w:bCs/>
          <w:i/>
        </w:rPr>
        <w:t xml:space="preserve">Support of combining of PDCCH repetitions may not be necessary to achieve reliability targets for </w:t>
      </w:r>
      <w:r>
        <w:rPr>
          <w:bCs/>
          <w:i/>
        </w:rPr>
        <w:t xml:space="preserve">prioritized </w:t>
      </w:r>
      <w:r w:rsidRPr="00881E43">
        <w:rPr>
          <w:bCs/>
          <w:i/>
        </w:rPr>
        <w:t>use cases</w:t>
      </w:r>
      <w:r>
        <w:rPr>
          <w:bCs/>
          <w:i/>
        </w:rPr>
        <w:t xml:space="preserve"> as part of Rel-16 studies</w:t>
      </w:r>
      <w:r w:rsidRPr="00881E43">
        <w:rPr>
          <w:bCs/>
          <w:i/>
        </w:rPr>
        <w:t>.</w:t>
      </w:r>
    </w:p>
    <w:p w14:paraId="266CD6B5" w14:textId="77777777" w:rsidR="00881E43" w:rsidRDefault="00881E43" w:rsidP="00881E43">
      <w:pPr>
        <w:autoSpaceDE/>
        <w:autoSpaceDN/>
        <w:adjustRightInd/>
        <w:snapToGrid/>
        <w:spacing w:after="0"/>
        <w:rPr>
          <w:bCs/>
        </w:rPr>
      </w:pPr>
    </w:p>
    <w:p w14:paraId="3875A1DD" w14:textId="77777777" w:rsidR="00881E43" w:rsidRPr="00556F18" w:rsidRDefault="00881E43" w:rsidP="00881E43">
      <w:pPr>
        <w:autoSpaceDE/>
        <w:autoSpaceDN/>
        <w:adjustRightInd/>
        <w:snapToGrid/>
        <w:spacing w:after="0"/>
        <w:rPr>
          <w:bCs/>
        </w:rPr>
      </w:pPr>
      <w:r w:rsidRPr="00556F18">
        <w:rPr>
          <w:bCs/>
        </w:rPr>
        <w:t>On the other hand, repetitions with different scheduling information can be helpful in realizing better scheduling opportunities and can be further studied, e.g</w:t>
      </w:r>
      <w:proofErr w:type="gramStart"/>
      <w:r w:rsidRPr="00556F18">
        <w:rPr>
          <w:bCs/>
        </w:rPr>
        <w:t>.,</w:t>
      </w:r>
      <w:proofErr w:type="gramEnd"/>
      <w:r w:rsidRPr="00556F18">
        <w:rPr>
          <w:bCs/>
        </w:rPr>
        <w:t xml:space="preserve"> </w:t>
      </w:r>
    </w:p>
    <w:p w14:paraId="13CF7966" w14:textId="77777777" w:rsidR="00881E43" w:rsidRPr="00556F18" w:rsidRDefault="00881E43" w:rsidP="00881E43">
      <w:pPr>
        <w:numPr>
          <w:ilvl w:val="0"/>
          <w:numId w:val="21"/>
        </w:numPr>
        <w:autoSpaceDE/>
        <w:autoSpaceDN/>
        <w:adjustRightInd/>
        <w:snapToGrid/>
        <w:spacing w:after="0"/>
        <w:rPr>
          <w:bCs/>
        </w:rPr>
      </w:pPr>
      <w:r w:rsidRPr="00556F18">
        <w:rPr>
          <w:bCs/>
        </w:rPr>
        <w:t>scheduling of additional “copies” of PDSCH/PUSCH (i.e., for same HARQ process) similar to Rel-15 LT</w:t>
      </w:r>
      <w:r>
        <w:rPr>
          <w:bCs/>
        </w:rPr>
        <w:t>E HRLLC),</w:t>
      </w:r>
    </w:p>
    <w:p w14:paraId="1970F6EE" w14:textId="77777777" w:rsidR="00881E43" w:rsidRPr="00556F18" w:rsidRDefault="00881E43" w:rsidP="00881E43">
      <w:pPr>
        <w:numPr>
          <w:ilvl w:val="0"/>
          <w:numId w:val="21"/>
        </w:numPr>
        <w:autoSpaceDE/>
        <w:autoSpaceDN/>
        <w:adjustRightInd/>
        <w:snapToGrid/>
        <w:spacing w:after="0"/>
        <w:rPr>
          <w:bCs/>
        </w:rPr>
      </w:pPr>
      <w:r w:rsidRPr="00556F18">
        <w:rPr>
          <w:bCs/>
        </w:rPr>
        <w:t>PDCCH repetitions with different TCI/QCL assumptions (in consideration of the studies and work done in Rel-16 MIMO WI in this regard</w:t>
      </w:r>
      <w:r>
        <w:rPr>
          <w:bCs/>
        </w:rPr>
        <w:t>),</w:t>
      </w:r>
    </w:p>
    <w:p w14:paraId="390CEF55" w14:textId="77777777" w:rsidR="00881E43" w:rsidRPr="00556F18" w:rsidRDefault="00881E43" w:rsidP="00881E43">
      <w:pPr>
        <w:autoSpaceDE/>
        <w:autoSpaceDN/>
        <w:adjustRightInd/>
        <w:snapToGrid/>
        <w:spacing w:after="0"/>
        <w:rPr>
          <w:bCs/>
        </w:rPr>
      </w:pPr>
      <w:proofErr w:type="gramStart"/>
      <w:r>
        <w:rPr>
          <w:bCs/>
        </w:rPr>
        <w:t>w</w:t>
      </w:r>
      <w:r w:rsidRPr="00556F18">
        <w:rPr>
          <w:bCs/>
        </w:rPr>
        <w:t>here</w:t>
      </w:r>
      <w:proofErr w:type="gramEnd"/>
      <w:r w:rsidRPr="00556F18">
        <w:rPr>
          <w:bCs/>
        </w:rPr>
        <w:t xml:space="preserve"> for the latter case, the impact on UE complexity and power consumption should be carefully assessed.</w:t>
      </w:r>
    </w:p>
    <w:p w14:paraId="40465C4E" w14:textId="77777777" w:rsidR="00881E43" w:rsidRDefault="00881E43" w:rsidP="00881E43">
      <w:pPr>
        <w:rPr>
          <w:bCs/>
        </w:rPr>
      </w:pPr>
      <w:r w:rsidRPr="00556F18">
        <w:rPr>
          <w:bCs/>
        </w:rPr>
        <w:t>Further, one important aspect where the repetition scheme does not mandate the UE to combine the received information across the repetitions, proper UE behavior need to be specified to avoid ambiguity or undesired processing.</w:t>
      </w:r>
    </w:p>
    <w:p w14:paraId="3C7E7031" w14:textId="484CD765" w:rsidR="008B463A" w:rsidRDefault="008B463A" w:rsidP="008B463A">
      <w:pPr>
        <w:pStyle w:val="N1"/>
        <w:keepNext/>
        <w:jc w:val="center"/>
      </w:pPr>
      <w:r>
        <w:rPr>
          <w:noProof/>
          <w:lang w:eastAsia="en-US" w:bidi="ar-SA"/>
        </w:rPr>
        <w:lastRenderedPageBreak/>
        <w:drawing>
          <wp:inline distT="0" distB="0" distL="0" distR="0" wp14:anchorId="46F02997" wp14:editId="68958D5C">
            <wp:extent cx="4314873" cy="31707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GBaseline.bmp"/>
                    <pic:cNvPicPr/>
                  </pic:nvPicPr>
                  <pic:blipFill rotWithShape="1">
                    <a:blip r:embed="rId8" cstate="print">
                      <a:extLst>
                        <a:ext uri="{28A0092B-C50C-407E-A947-70E740481C1C}">
                          <a14:useLocalDpi xmlns:a14="http://schemas.microsoft.com/office/drawing/2010/main" val="0"/>
                        </a:ext>
                      </a:extLst>
                    </a:blip>
                    <a:srcRect l="4487" t="3560" r="8868" b="1709"/>
                    <a:stretch/>
                  </pic:blipFill>
                  <pic:spPr bwMode="auto">
                    <a:xfrm>
                      <a:off x="0" y="0"/>
                      <a:ext cx="4343563" cy="3191794"/>
                    </a:xfrm>
                    <a:prstGeom prst="rect">
                      <a:avLst/>
                    </a:prstGeom>
                    <a:ln>
                      <a:noFill/>
                    </a:ln>
                    <a:extLst>
                      <a:ext uri="{53640926-AAD7-44D8-BBD7-CCE9431645EC}">
                        <a14:shadowObscured xmlns:a14="http://schemas.microsoft.com/office/drawing/2010/main"/>
                      </a:ext>
                    </a:extLst>
                  </pic:spPr>
                </pic:pic>
              </a:graphicData>
            </a:graphic>
          </wp:inline>
        </w:drawing>
      </w:r>
    </w:p>
    <w:p w14:paraId="59A2E66F" w14:textId="7AE82A42" w:rsidR="008B463A" w:rsidRPr="00154A98" w:rsidRDefault="008B463A" w:rsidP="00154219">
      <w:pPr>
        <w:pStyle w:val="Caption"/>
        <w:rPr>
          <w:b w:val="0"/>
          <w:sz w:val="22"/>
        </w:rPr>
      </w:pPr>
      <w:bookmarkStart w:id="1" w:name="_Ref525733811"/>
      <w:r w:rsidRPr="00154A98">
        <w:rPr>
          <w:sz w:val="22"/>
        </w:rPr>
        <w:t xml:space="preserve">Figure </w:t>
      </w:r>
      <w:r w:rsidRPr="00154A98">
        <w:rPr>
          <w:b w:val="0"/>
          <w:sz w:val="22"/>
        </w:rPr>
        <w:fldChar w:fldCharType="begin"/>
      </w:r>
      <w:r w:rsidRPr="00154A98">
        <w:rPr>
          <w:sz w:val="22"/>
        </w:rPr>
        <w:instrText xml:space="preserve"> SEQ Figure \* ARABIC </w:instrText>
      </w:r>
      <w:r w:rsidRPr="00154A98">
        <w:rPr>
          <w:b w:val="0"/>
          <w:sz w:val="22"/>
        </w:rPr>
        <w:fldChar w:fldCharType="separate"/>
      </w:r>
      <w:r w:rsidR="006C7448">
        <w:rPr>
          <w:noProof/>
          <w:sz w:val="22"/>
        </w:rPr>
        <w:t>1</w:t>
      </w:r>
      <w:r w:rsidRPr="00154A98">
        <w:rPr>
          <w:b w:val="0"/>
          <w:sz w:val="22"/>
        </w:rPr>
        <w:fldChar w:fldCharType="end"/>
      </w:r>
      <w:bookmarkEnd w:id="1"/>
      <w:r w:rsidRPr="00154A98">
        <w:rPr>
          <w:sz w:val="22"/>
        </w:rPr>
        <w:t xml:space="preserve">. </w:t>
      </w:r>
      <w:r w:rsidR="00154219">
        <w:rPr>
          <w:sz w:val="22"/>
        </w:rPr>
        <w:t>PDCCH BLER evaluation results (simulation a</w:t>
      </w:r>
      <w:r w:rsidR="00FB7E30">
        <w:rPr>
          <w:sz w:val="22"/>
        </w:rPr>
        <w:t>ssumptions are tabled in Annex-B</w:t>
      </w:r>
      <w:r w:rsidR="00154219">
        <w:rPr>
          <w:sz w:val="22"/>
        </w:rPr>
        <w:t>)</w:t>
      </w:r>
    </w:p>
    <w:p w14:paraId="1BCB06BD" w14:textId="74914687" w:rsidR="0092023C" w:rsidRPr="00881E43" w:rsidRDefault="0092023C" w:rsidP="00633093">
      <w:pPr>
        <w:rPr>
          <w:b/>
          <w:bCs/>
        </w:rPr>
      </w:pPr>
      <w:r w:rsidRPr="00881E43">
        <w:rPr>
          <w:b/>
          <w:bCs/>
        </w:rPr>
        <w:t>Proposal 2</w:t>
      </w:r>
    </w:p>
    <w:p w14:paraId="70829C55" w14:textId="77777777" w:rsidR="0092023C" w:rsidRPr="00881E43" w:rsidRDefault="0092023C" w:rsidP="00881E43">
      <w:pPr>
        <w:pStyle w:val="ListParagraph"/>
        <w:numPr>
          <w:ilvl w:val="0"/>
          <w:numId w:val="24"/>
        </w:numPr>
      </w:pPr>
      <w:r>
        <w:rPr>
          <w:bCs/>
          <w:i/>
        </w:rPr>
        <w:t xml:space="preserve">RAN1 to focus studies on multiple PDCCH transmissions with different scheduling information or transmission/reception parameters, e.g., </w:t>
      </w:r>
    </w:p>
    <w:p w14:paraId="698146CB" w14:textId="77777777" w:rsidR="0092023C" w:rsidRPr="00881E43" w:rsidRDefault="0092023C" w:rsidP="00881E43">
      <w:pPr>
        <w:pStyle w:val="ListParagraph"/>
        <w:numPr>
          <w:ilvl w:val="1"/>
          <w:numId w:val="24"/>
        </w:numPr>
      </w:pPr>
      <w:r>
        <w:rPr>
          <w:bCs/>
          <w:i/>
        </w:rPr>
        <w:t xml:space="preserve">PDCCH repetitions scheduling PDSCH/PUSCH repetitions, </w:t>
      </w:r>
    </w:p>
    <w:p w14:paraId="29C84B0D" w14:textId="039EDC3D" w:rsidR="005E6FA9" w:rsidRPr="00A874FF" w:rsidRDefault="0092023C" w:rsidP="00881E43">
      <w:pPr>
        <w:pStyle w:val="ListParagraph"/>
        <w:numPr>
          <w:ilvl w:val="1"/>
          <w:numId w:val="24"/>
        </w:numPr>
      </w:pPr>
      <w:r>
        <w:rPr>
          <w:bCs/>
          <w:i/>
        </w:rPr>
        <w:t xml:space="preserve">PDCCH repetitions with different TCI/QCL assumptions, etc. </w:t>
      </w:r>
    </w:p>
    <w:p w14:paraId="3917C784" w14:textId="2EFBD565" w:rsidR="00A874FF" w:rsidRPr="00881E43" w:rsidRDefault="00A874FF" w:rsidP="00881E43">
      <w:pPr>
        <w:pStyle w:val="ListParagraph"/>
        <w:numPr>
          <w:ilvl w:val="0"/>
          <w:numId w:val="24"/>
        </w:numPr>
        <w:rPr>
          <w:i/>
        </w:rPr>
      </w:pPr>
      <w:r>
        <w:rPr>
          <w:bCs/>
          <w:i/>
        </w:rPr>
        <w:t>The impact to UE power consumption and complexity should be carefully considered.</w:t>
      </w:r>
      <w:r w:rsidRPr="00881E43">
        <w:rPr>
          <w:bCs/>
          <w:i/>
        </w:rPr>
        <w:t xml:space="preserve"> </w:t>
      </w:r>
    </w:p>
    <w:p w14:paraId="6646EB8B" w14:textId="0C1A7876" w:rsidR="00EE5E03" w:rsidRPr="006103CC" w:rsidRDefault="00EE5E03" w:rsidP="006103C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 xml:space="preserve">PDCCH Monitoring enhancements </w:t>
      </w:r>
    </w:p>
    <w:p w14:paraId="7E218060" w14:textId="4F9C3CE6" w:rsidR="00EE5E03" w:rsidRDefault="00192AFC" w:rsidP="00192AFC">
      <w:r>
        <w:t xml:space="preserve">As discussed earlier, </w:t>
      </w:r>
      <w:r w:rsidR="005B18BB">
        <w:t xml:space="preserve">URLLC services introduce </w:t>
      </w:r>
      <w:r w:rsidR="00295114">
        <w:t xml:space="preserve">new requirements as well as new traffic profiles. Accordingly, enhancements may be required, to better adapt to such characteristics and requirements. </w:t>
      </w:r>
      <w:r w:rsidR="0088583E" w:rsidRPr="0088583E">
        <w:t xml:space="preserve">PDCCH </w:t>
      </w:r>
      <w:r w:rsidR="00B77C2E">
        <w:t>m</w:t>
      </w:r>
      <w:r w:rsidR="0088583E" w:rsidRPr="0088583E">
        <w:t xml:space="preserve">onitoring enhancements </w:t>
      </w:r>
      <w:r w:rsidR="00295114">
        <w:t>can help realizing such adaptations</w:t>
      </w:r>
      <w:r w:rsidR="0088583E" w:rsidRPr="0088583E">
        <w:t xml:space="preserve">, </w:t>
      </w:r>
      <w:r w:rsidR="00295114">
        <w:t xml:space="preserve">e.g., </w:t>
      </w:r>
      <w:r w:rsidR="0088583E" w:rsidRPr="0088583E">
        <w:t xml:space="preserve">to achieve more flexibility </w:t>
      </w:r>
      <w:r w:rsidR="00295114">
        <w:t xml:space="preserve">in scheduling opportunities. </w:t>
      </w:r>
      <w:r w:rsidR="00371CD2">
        <w:t xml:space="preserve">Certainly, increased capabilities in numbers of BDs or numbers of CCEs for channel estimation can straightforwardly improve scheduling flexibility. However, they also incur significant UE complexity and power consumption. </w:t>
      </w:r>
      <w:r>
        <w:t>Thus, careful consideration is needed towards achieving an optimal balance between scheduling flexibility and improved blocking performance against UE complexity and power consumption. In this regard, solutions that facilitate appropriate trade-off between performance, power consumption, and device complexity should be pursued.</w:t>
      </w:r>
    </w:p>
    <w:p w14:paraId="58FC1F3F" w14:textId="4EABF730" w:rsidR="00DD26F8" w:rsidRDefault="00192AFC" w:rsidP="00192AFC">
      <w:r>
        <w:t>On the other hand, one key aspect to note is given</w:t>
      </w:r>
      <w:r w:rsidR="005274EA" w:rsidRPr="00192AFC">
        <w:t xml:space="preserve"> the likely use of relatively higher ALs for PDCCH </w:t>
      </w:r>
      <w:r>
        <w:t xml:space="preserve">transmission </w:t>
      </w:r>
      <w:r w:rsidR="005274EA" w:rsidRPr="00192AFC">
        <w:t xml:space="preserve">targeting URLLC reliabilities, the impact from the constraint on CCEs for channel estimation </w:t>
      </w:r>
      <w:r>
        <w:t>may be the primary bottleneck (i.e.,</w:t>
      </w:r>
      <w:r w:rsidR="005274EA" w:rsidRPr="00192AFC">
        <w:t xml:space="preserve"> not nece</w:t>
      </w:r>
      <w:r>
        <w:t>ssarily the number</w:t>
      </w:r>
      <w:r w:rsidR="005274EA" w:rsidRPr="00192AFC">
        <w:t xml:space="preserve"> of BDs</w:t>
      </w:r>
      <w:r>
        <w:t xml:space="preserve">). As such, such PDCCH monitoring </w:t>
      </w:r>
      <w:r w:rsidR="005274EA" w:rsidRPr="00192AFC">
        <w:t xml:space="preserve">enhancements </w:t>
      </w:r>
      <w:r w:rsidRPr="00192AFC">
        <w:t xml:space="preserve">may </w:t>
      </w:r>
      <w:r>
        <w:t>f</w:t>
      </w:r>
      <w:r w:rsidRPr="00192AFC">
        <w:t xml:space="preserve">ocus on </w:t>
      </w:r>
      <w:r w:rsidR="005274EA" w:rsidRPr="00192AFC">
        <w:t>characterization of minimum requirements on CCEs for PDCCH channel estimation</w:t>
      </w:r>
      <w:r>
        <w:t>.</w:t>
      </w:r>
    </w:p>
    <w:p w14:paraId="5F0892A9" w14:textId="53F6B3AF" w:rsidR="00DD26F8" w:rsidRDefault="00DD26F8" w:rsidP="00DD26F8">
      <w:r>
        <w:t>In summary, we have the following proposal regarding the PDCCH-related enhancements:</w:t>
      </w:r>
    </w:p>
    <w:p w14:paraId="67EF09A4" w14:textId="0073B40E" w:rsidR="00371CD2" w:rsidRPr="00633093" w:rsidRDefault="005C0AEE" w:rsidP="00A57B64">
      <w:pPr>
        <w:pStyle w:val="3GPPNormalText"/>
        <w:rPr>
          <w:sz w:val="22"/>
          <w:szCs w:val="28"/>
        </w:rPr>
      </w:pPr>
      <w:r w:rsidRPr="00633093">
        <w:rPr>
          <w:b/>
          <w:bCs/>
          <w:sz w:val="22"/>
          <w:szCs w:val="28"/>
        </w:rPr>
        <w:t xml:space="preserve">Proposal </w:t>
      </w:r>
      <w:r w:rsidR="00A874FF">
        <w:rPr>
          <w:b/>
          <w:bCs/>
          <w:sz w:val="22"/>
          <w:szCs w:val="28"/>
        </w:rPr>
        <w:t>3</w:t>
      </w:r>
      <w:r w:rsidRPr="00633093">
        <w:rPr>
          <w:b/>
          <w:bCs/>
          <w:sz w:val="22"/>
          <w:szCs w:val="28"/>
        </w:rPr>
        <w:t>:</w:t>
      </w:r>
      <w:r w:rsidRPr="00633093">
        <w:rPr>
          <w:sz w:val="22"/>
          <w:szCs w:val="28"/>
        </w:rPr>
        <w:t xml:space="preserve"> </w:t>
      </w:r>
    </w:p>
    <w:p w14:paraId="0C6E5C76" w14:textId="189EE97B" w:rsidR="00910C9C" w:rsidRPr="00A874FF" w:rsidRDefault="00910C9C" w:rsidP="00881E43">
      <w:pPr>
        <w:pStyle w:val="3GPPNormalText"/>
        <w:numPr>
          <w:ilvl w:val="0"/>
          <w:numId w:val="14"/>
        </w:numPr>
        <w:rPr>
          <w:i/>
          <w:sz w:val="22"/>
          <w:szCs w:val="28"/>
        </w:rPr>
      </w:pPr>
      <w:r w:rsidRPr="00633093">
        <w:rPr>
          <w:i/>
          <w:sz w:val="22"/>
          <w:szCs w:val="28"/>
        </w:rPr>
        <w:lastRenderedPageBreak/>
        <w:t xml:space="preserve">RAN1 to further study </w:t>
      </w:r>
      <w:r w:rsidRPr="00A874FF">
        <w:rPr>
          <w:i/>
          <w:sz w:val="22"/>
          <w:szCs w:val="28"/>
        </w:rPr>
        <w:t xml:space="preserve">PDCCH </w:t>
      </w:r>
      <w:r w:rsidR="00B77C2E" w:rsidRPr="00A874FF">
        <w:rPr>
          <w:i/>
          <w:sz w:val="22"/>
          <w:szCs w:val="28"/>
        </w:rPr>
        <w:t>m</w:t>
      </w:r>
      <w:r w:rsidRPr="00A874FF">
        <w:rPr>
          <w:i/>
          <w:sz w:val="22"/>
          <w:szCs w:val="28"/>
        </w:rPr>
        <w:t xml:space="preserve">onitoring enhancements to better adapt to traffic characteristics of URLLC </w:t>
      </w:r>
      <w:r w:rsidR="00165495" w:rsidRPr="00A874FF">
        <w:rPr>
          <w:i/>
          <w:sz w:val="22"/>
          <w:szCs w:val="28"/>
        </w:rPr>
        <w:t>service</w:t>
      </w:r>
      <w:r w:rsidR="00633093" w:rsidRPr="00A874FF">
        <w:rPr>
          <w:i/>
          <w:sz w:val="22"/>
          <w:szCs w:val="28"/>
        </w:rPr>
        <w:t>, with focus on characterization of minimum requirements on CCEs for channel estimation</w:t>
      </w:r>
      <w:r w:rsidR="00B77C2E" w:rsidRPr="00A874FF">
        <w:rPr>
          <w:i/>
          <w:sz w:val="22"/>
          <w:szCs w:val="28"/>
        </w:rPr>
        <w:t>.</w:t>
      </w:r>
    </w:p>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26819A75" w14:textId="22B5B35B" w:rsidR="00DD70AC" w:rsidRDefault="00DD70AC" w:rsidP="00C0164C">
      <w:pPr>
        <w:pStyle w:val="3GPPNormalText"/>
        <w:rPr>
          <w:sz w:val="22"/>
          <w:szCs w:val="28"/>
        </w:rPr>
      </w:pPr>
      <w:r w:rsidRPr="00C11214">
        <w:rPr>
          <w:sz w:val="22"/>
          <w:szCs w:val="28"/>
        </w:rPr>
        <w:t xml:space="preserve">In this contribution, we discussed </w:t>
      </w:r>
      <w:r w:rsidR="00B56C1C">
        <w:rPr>
          <w:sz w:val="22"/>
          <w:szCs w:val="28"/>
        </w:rPr>
        <w:t xml:space="preserve">details </w:t>
      </w:r>
      <w:r w:rsidR="00C0164C">
        <w:rPr>
          <w:sz w:val="22"/>
          <w:szCs w:val="28"/>
        </w:rPr>
        <w:t xml:space="preserve">on whether/how </w:t>
      </w:r>
      <w:r w:rsidR="00B56C1C">
        <w:rPr>
          <w:sz w:val="22"/>
          <w:szCs w:val="28"/>
        </w:rPr>
        <w:t xml:space="preserve">to realize </w:t>
      </w:r>
      <w:r w:rsidR="00C0164C">
        <w:rPr>
          <w:sz w:val="22"/>
          <w:szCs w:val="28"/>
        </w:rPr>
        <w:t>PDCCH</w:t>
      </w:r>
      <w:r w:rsidR="006D4A0C" w:rsidRPr="00B56C1C">
        <w:rPr>
          <w:sz w:val="22"/>
          <w:szCs w:val="28"/>
        </w:rPr>
        <w:t xml:space="preserve"> enhancements for Rel-16 eURLLC</w:t>
      </w:r>
      <w:r w:rsidR="006D4A0C">
        <w:rPr>
          <w:sz w:val="22"/>
          <w:szCs w:val="28"/>
        </w:rPr>
        <w:t xml:space="preserve">. </w:t>
      </w:r>
      <w:r w:rsidRPr="00C11214">
        <w:rPr>
          <w:sz w:val="22"/>
          <w:szCs w:val="28"/>
        </w:rPr>
        <w:t xml:space="preserve">Based on the discussion and analysis, we have the following </w:t>
      </w:r>
      <w:r w:rsidR="00A874FF">
        <w:rPr>
          <w:sz w:val="22"/>
          <w:szCs w:val="28"/>
        </w:rPr>
        <w:t>observations and proposals</w:t>
      </w:r>
      <w:r w:rsidRPr="00C11214">
        <w:rPr>
          <w:sz w:val="22"/>
          <w:szCs w:val="28"/>
        </w:rPr>
        <w:t>:</w:t>
      </w:r>
    </w:p>
    <w:p w14:paraId="074A9B36" w14:textId="77777777" w:rsidR="006D4A0C" w:rsidRPr="00C11214" w:rsidRDefault="006D4A0C" w:rsidP="006D4A0C">
      <w:pPr>
        <w:pStyle w:val="3GPPNormalText"/>
        <w:rPr>
          <w:sz w:val="22"/>
          <w:szCs w:val="28"/>
        </w:rPr>
      </w:pPr>
    </w:p>
    <w:p w14:paraId="72BA8832" w14:textId="77777777" w:rsidR="00A874FF" w:rsidRPr="00266496" w:rsidRDefault="00A874FF" w:rsidP="00A874FF">
      <w:pPr>
        <w:rPr>
          <w:b/>
        </w:rPr>
      </w:pPr>
      <w:r w:rsidRPr="00266496">
        <w:rPr>
          <w:b/>
        </w:rPr>
        <w:t>Observation 1</w:t>
      </w:r>
    </w:p>
    <w:p w14:paraId="7907E863" w14:textId="77777777" w:rsidR="00A874FF" w:rsidRPr="00266496" w:rsidRDefault="00A874FF" w:rsidP="00A874FF">
      <w:pPr>
        <w:pStyle w:val="ListParagraph"/>
        <w:numPr>
          <w:ilvl w:val="0"/>
          <w:numId w:val="23"/>
        </w:numPr>
        <w:rPr>
          <w:i/>
        </w:rPr>
      </w:pPr>
      <w:r w:rsidRPr="00266496">
        <w:rPr>
          <w:i/>
        </w:rPr>
        <w:t xml:space="preserve">Benefits from a compact DCI format towards improving PDCCH reliability or blocking performance, as against the loss in scheduling flexibility, are marginal. </w:t>
      </w:r>
    </w:p>
    <w:p w14:paraId="3F6B127B" w14:textId="77777777" w:rsidR="00A874FF" w:rsidRPr="00266496" w:rsidRDefault="00A874FF" w:rsidP="00A874FF">
      <w:pPr>
        <w:rPr>
          <w:b/>
        </w:rPr>
      </w:pPr>
      <w:r>
        <w:rPr>
          <w:b/>
        </w:rPr>
        <w:t>Proposal</w:t>
      </w:r>
      <w:r w:rsidRPr="00266496">
        <w:rPr>
          <w:b/>
        </w:rPr>
        <w:t xml:space="preserve"> 1</w:t>
      </w:r>
    </w:p>
    <w:p w14:paraId="09B0BD8C" w14:textId="77777777" w:rsidR="00A874FF" w:rsidRPr="00266496" w:rsidRDefault="00A874FF" w:rsidP="00A874FF">
      <w:pPr>
        <w:pStyle w:val="3GPPNormalText"/>
        <w:numPr>
          <w:ilvl w:val="0"/>
          <w:numId w:val="23"/>
        </w:numPr>
        <w:rPr>
          <w:i/>
          <w:sz w:val="22"/>
          <w:szCs w:val="22"/>
        </w:rPr>
      </w:pPr>
      <w:r w:rsidRPr="00266496">
        <w:rPr>
          <w:i/>
          <w:sz w:val="22"/>
          <w:szCs w:val="22"/>
        </w:rPr>
        <w:t>RAN1 to study potential two-stage DCI designs towards achieving better trade-off between the blocking performance and the scheduling flexibility</w:t>
      </w:r>
      <w:r>
        <w:rPr>
          <w:i/>
          <w:sz w:val="22"/>
          <w:szCs w:val="22"/>
        </w:rPr>
        <w:t xml:space="preserve"> considering aperiodic traffic use cases</w:t>
      </w:r>
      <w:r w:rsidRPr="00266496">
        <w:rPr>
          <w:i/>
          <w:sz w:val="22"/>
          <w:szCs w:val="22"/>
        </w:rPr>
        <w:t>.</w:t>
      </w:r>
    </w:p>
    <w:p w14:paraId="5C645490" w14:textId="77777777" w:rsidR="00A874FF" w:rsidRPr="00266496" w:rsidRDefault="00A874FF" w:rsidP="00A874FF">
      <w:pPr>
        <w:autoSpaceDE/>
        <w:autoSpaceDN/>
        <w:adjustRightInd/>
        <w:snapToGrid/>
        <w:spacing w:after="0"/>
        <w:rPr>
          <w:b/>
          <w:bCs/>
        </w:rPr>
      </w:pPr>
      <w:r w:rsidRPr="00266496">
        <w:rPr>
          <w:b/>
          <w:bCs/>
        </w:rPr>
        <w:t>Observation 2</w:t>
      </w:r>
    </w:p>
    <w:p w14:paraId="100CF4B4" w14:textId="77777777" w:rsidR="00A874FF" w:rsidRPr="00266496" w:rsidRDefault="00A874FF" w:rsidP="00A874FF">
      <w:pPr>
        <w:pStyle w:val="ListParagraph"/>
        <w:numPr>
          <w:ilvl w:val="0"/>
          <w:numId w:val="23"/>
        </w:numPr>
        <w:autoSpaceDE/>
        <w:autoSpaceDN/>
        <w:adjustRightInd/>
        <w:snapToGrid/>
        <w:spacing w:after="0"/>
        <w:rPr>
          <w:bCs/>
          <w:i/>
        </w:rPr>
      </w:pPr>
      <w:r w:rsidRPr="00266496">
        <w:rPr>
          <w:bCs/>
          <w:i/>
        </w:rPr>
        <w:t xml:space="preserve">Support of combining of PDCCH repetitions may not be necessary to achieve reliability targets for </w:t>
      </w:r>
      <w:r>
        <w:rPr>
          <w:bCs/>
          <w:i/>
        </w:rPr>
        <w:t xml:space="preserve">prioritized </w:t>
      </w:r>
      <w:r w:rsidRPr="00266496">
        <w:rPr>
          <w:bCs/>
          <w:i/>
        </w:rPr>
        <w:t>use cases</w:t>
      </w:r>
      <w:r>
        <w:rPr>
          <w:bCs/>
          <w:i/>
        </w:rPr>
        <w:t xml:space="preserve"> as part of Rel-16 studies</w:t>
      </w:r>
      <w:r w:rsidRPr="00266496">
        <w:rPr>
          <w:bCs/>
          <w:i/>
        </w:rPr>
        <w:t>.</w:t>
      </w:r>
    </w:p>
    <w:p w14:paraId="5C144F71" w14:textId="77777777" w:rsidR="00A874FF" w:rsidRPr="00266496" w:rsidRDefault="00A874FF" w:rsidP="00A874FF">
      <w:pPr>
        <w:rPr>
          <w:b/>
          <w:bCs/>
        </w:rPr>
      </w:pPr>
      <w:r w:rsidRPr="00266496">
        <w:rPr>
          <w:b/>
          <w:bCs/>
        </w:rPr>
        <w:t>Proposal 2</w:t>
      </w:r>
    </w:p>
    <w:p w14:paraId="123888C8" w14:textId="77777777" w:rsidR="00A874FF" w:rsidRPr="00266496" w:rsidRDefault="00A874FF" w:rsidP="00A874FF">
      <w:pPr>
        <w:pStyle w:val="ListParagraph"/>
        <w:numPr>
          <w:ilvl w:val="0"/>
          <w:numId w:val="24"/>
        </w:numPr>
      </w:pPr>
      <w:r>
        <w:rPr>
          <w:bCs/>
          <w:i/>
        </w:rPr>
        <w:t xml:space="preserve">RAN1 to focus studies on multiple PDCCH transmissions with different scheduling information or transmission/reception parameters, e.g., </w:t>
      </w:r>
    </w:p>
    <w:p w14:paraId="1DE41542" w14:textId="77777777" w:rsidR="00A874FF" w:rsidRPr="00266496" w:rsidRDefault="00A874FF" w:rsidP="00A874FF">
      <w:pPr>
        <w:pStyle w:val="ListParagraph"/>
        <w:numPr>
          <w:ilvl w:val="1"/>
          <w:numId w:val="24"/>
        </w:numPr>
      </w:pPr>
      <w:r>
        <w:rPr>
          <w:bCs/>
          <w:i/>
        </w:rPr>
        <w:t xml:space="preserve">PDCCH repetitions scheduling PDSCH/PUSCH repetitions, </w:t>
      </w:r>
    </w:p>
    <w:p w14:paraId="52104C15" w14:textId="77777777" w:rsidR="00A874FF" w:rsidRPr="00A874FF" w:rsidRDefault="00A874FF" w:rsidP="00A874FF">
      <w:pPr>
        <w:pStyle w:val="ListParagraph"/>
        <w:numPr>
          <w:ilvl w:val="1"/>
          <w:numId w:val="24"/>
        </w:numPr>
      </w:pPr>
      <w:r>
        <w:rPr>
          <w:bCs/>
          <w:i/>
        </w:rPr>
        <w:t xml:space="preserve">PDCCH repetitions with different TCI/QCL assumptions, etc. </w:t>
      </w:r>
    </w:p>
    <w:p w14:paraId="5643A9EE" w14:textId="77777777" w:rsidR="00A874FF" w:rsidRPr="00266496" w:rsidRDefault="00A874FF" w:rsidP="00A874FF">
      <w:pPr>
        <w:pStyle w:val="ListParagraph"/>
        <w:numPr>
          <w:ilvl w:val="0"/>
          <w:numId w:val="24"/>
        </w:numPr>
        <w:rPr>
          <w:i/>
        </w:rPr>
      </w:pPr>
      <w:r>
        <w:rPr>
          <w:bCs/>
          <w:i/>
        </w:rPr>
        <w:t>The impact to UE power consumption and complexity should be carefully considered.</w:t>
      </w:r>
      <w:r w:rsidRPr="00266496">
        <w:rPr>
          <w:bCs/>
          <w:i/>
        </w:rPr>
        <w:t xml:space="preserve"> </w:t>
      </w:r>
    </w:p>
    <w:p w14:paraId="7CDAE34D" w14:textId="77777777" w:rsidR="00A874FF" w:rsidRPr="00633093" w:rsidRDefault="00A874FF" w:rsidP="00A874FF">
      <w:pPr>
        <w:pStyle w:val="3GPPNormalText"/>
        <w:rPr>
          <w:sz w:val="22"/>
          <w:szCs w:val="28"/>
        </w:rPr>
      </w:pPr>
      <w:r w:rsidRPr="00633093">
        <w:rPr>
          <w:b/>
          <w:bCs/>
          <w:sz w:val="22"/>
          <w:szCs w:val="28"/>
        </w:rPr>
        <w:t xml:space="preserve">Proposal </w:t>
      </w:r>
      <w:r>
        <w:rPr>
          <w:b/>
          <w:bCs/>
          <w:sz w:val="22"/>
          <w:szCs w:val="28"/>
        </w:rPr>
        <w:t>3</w:t>
      </w:r>
      <w:r w:rsidRPr="00633093">
        <w:rPr>
          <w:b/>
          <w:bCs/>
          <w:sz w:val="22"/>
          <w:szCs w:val="28"/>
        </w:rPr>
        <w:t>:</w:t>
      </w:r>
      <w:r w:rsidRPr="00633093">
        <w:rPr>
          <w:sz w:val="22"/>
          <w:szCs w:val="28"/>
        </w:rPr>
        <w:t xml:space="preserve"> </w:t>
      </w:r>
    </w:p>
    <w:p w14:paraId="744F0AFD" w14:textId="77777777" w:rsidR="00A874FF" w:rsidRPr="00266496" w:rsidRDefault="00A874FF" w:rsidP="00A874FF">
      <w:pPr>
        <w:pStyle w:val="3GPPNormalText"/>
        <w:numPr>
          <w:ilvl w:val="0"/>
          <w:numId w:val="14"/>
        </w:numPr>
        <w:rPr>
          <w:i/>
          <w:sz w:val="22"/>
          <w:szCs w:val="28"/>
        </w:rPr>
      </w:pPr>
      <w:r w:rsidRPr="00633093">
        <w:rPr>
          <w:i/>
          <w:sz w:val="22"/>
          <w:szCs w:val="28"/>
        </w:rPr>
        <w:t xml:space="preserve">RAN1 to further study </w:t>
      </w:r>
      <w:r w:rsidRPr="00A874FF">
        <w:rPr>
          <w:i/>
          <w:sz w:val="22"/>
          <w:szCs w:val="28"/>
        </w:rPr>
        <w:t>PDCCH monitoring enhancements to better adapt to traffic characteristics of URLLC service, with focus on characterization of minimum requirements on CCEs for channel estimation</w:t>
      </w:r>
      <w:r w:rsidRPr="00266496">
        <w:rPr>
          <w:i/>
          <w:sz w:val="22"/>
          <w:szCs w:val="28"/>
        </w:rPr>
        <w:t>.</w:t>
      </w:r>
    </w:p>
    <w:p w14:paraId="17657C3B" w14:textId="77777777" w:rsidR="00A874FF" w:rsidRDefault="00A874FF" w:rsidP="00A874FF"/>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2" w:name="_GoBack"/>
      <w:bookmarkEnd w:id="2"/>
      <w:r w:rsidRPr="007C1391">
        <w:rPr>
          <w:rFonts w:ascii="Arial" w:hAnsi="Arial"/>
          <w:b w:val="0"/>
          <w:bCs w:val="0"/>
          <w:sz w:val="36"/>
          <w:szCs w:val="20"/>
        </w:rPr>
        <w:t>References</w:t>
      </w:r>
    </w:p>
    <w:p w14:paraId="40BC35B1" w14:textId="18581826" w:rsidR="001D4654" w:rsidRDefault="00FB7E30" w:rsidP="00FB7E30">
      <w:pPr>
        <w:widowControl w:val="0"/>
        <w:numPr>
          <w:ilvl w:val="0"/>
          <w:numId w:val="2"/>
        </w:numPr>
        <w:overflowPunct w:val="0"/>
        <w:snapToGrid/>
      </w:pPr>
      <w:r w:rsidRPr="005F301D">
        <w:t>RAN1 Chairman’s Notes, 3GPP TSG RAN WG1 Meeting #9</w:t>
      </w:r>
      <w:r>
        <w:t xml:space="preserve">4, </w:t>
      </w:r>
      <w:r w:rsidRPr="00FB7E30">
        <w:t>Gothenburg, Sweden, August 20th – 24th, 2018</w:t>
      </w:r>
      <w:r w:rsidRPr="005F301D">
        <w:t>, 2018</w:t>
      </w:r>
    </w:p>
    <w:p w14:paraId="6157408C" w14:textId="6086FEC5" w:rsidR="00D3037A" w:rsidRPr="00FB7E30" w:rsidRDefault="006D0FA8" w:rsidP="006D0FA8">
      <w:pPr>
        <w:widowControl w:val="0"/>
        <w:numPr>
          <w:ilvl w:val="0"/>
          <w:numId w:val="2"/>
        </w:numPr>
        <w:overflowPunct w:val="0"/>
        <w:snapToGrid/>
      </w:pPr>
      <w:bookmarkStart w:id="3" w:name="_Ref525936706"/>
      <w:r w:rsidRPr="005F301D">
        <w:t>RAN1 Chairman’s Notes, 3GPP TSG RAN WG1 Meeting #9</w:t>
      </w:r>
      <w:r>
        <w:t xml:space="preserve">4b, </w:t>
      </w:r>
      <w:r w:rsidRPr="006D0FA8">
        <w:t>Chengdu, China, October 8th – 12th, 2018</w:t>
      </w:r>
      <w:r w:rsidR="00D3037A">
        <w:t>.</w:t>
      </w:r>
      <w:bookmarkEnd w:id="3"/>
    </w:p>
    <w:p w14:paraId="716A0DB0" w14:textId="78B0D280" w:rsidR="00DD6B94" w:rsidRDefault="00DD6B94" w:rsidP="008B463A">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lastRenderedPageBreak/>
        <w:t>A</w:t>
      </w:r>
      <w:r w:rsidR="008B463A">
        <w:rPr>
          <w:rFonts w:ascii="Arial" w:hAnsi="Arial"/>
          <w:b w:val="0"/>
          <w:bCs w:val="0"/>
          <w:sz w:val="36"/>
          <w:szCs w:val="20"/>
        </w:rPr>
        <w:t>nnex</w:t>
      </w:r>
    </w:p>
    <w:p w14:paraId="2A548EBC" w14:textId="77777777" w:rsidR="008B463A" w:rsidRPr="008B463A" w:rsidRDefault="008B463A" w:rsidP="008B463A">
      <w:pPr>
        <w:pStyle w:val="Heading2"/>
        <w:keepLines/>
        <w:numPr>
          <w:ilvl w:val="0"/>
          <w:numId w:val="22"/>
        </w:numPr>
        <w:overflowPunct w:val="0"/>
        <w:snapToGrid/>
        <w:spacing w:before="180"/>
        <w:jc w:val="left"/>
        <w:textAlignment w:val="baseline"/>
        <w:rPr>
          <w:rFonts w:ascii="Arial" w:hAnsi="Arial"/>
          <w:b w:val="0"/>
          <w:bCs w:val="0"/>
          <w:sz w:val="32"/>
          <w:szCs w:val="20"/>
          <w:lang w:val="en-GB"/>
        </w:rPr>
      </w:pPr>
      <w:r w:rsidRPr="008B463A">
        <w:rPr>
          <w:rFonts w:ascii="Arial" w:hAnsi="Arial"/>
          <w:b w:val="0"/>
          <w:bCs w:val="0"/>
          <w:sz w:val="32"/>
          <w:szCs w:val="20"/>
          <w:lang w:val="en-GB"/>
        </w:rPr>
        <w:t>DL SINR CDF</w:t>
      </w:r>
    </w:p>
    <w:p w14:paraId="27B58351" w14:textId="6B9FB8C0" w:rsidR="008B463A" w:rsidRDefault="0048716B" w:rsidP="008B463A">
      <w:pPr>
        <w:jc w:val="center"/>
      </w:pPr>
      <w:r>
        <w:rPr>
          <w:noProof/>
          <w:color w:val="1F497D"/>
        </w:rPr>
        <w:drawing>
          <wp:inline distT="0" distB="0" distL="0" distR="0" wp14:anchorId="2271F9D6" wp14:editId="49D4393D">
            <wp:extent cx="3604437" cy="3032989"/>
            <wp:effectExtent l="0" t="0" r="0" b="0"/>
            <wp:docPr id="3" name="Picture 3" descr="cid:image001.png@01D46F55.8C54D4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6F55.8C54D4A0"/>
                    <pic:cNvPicPr>
                      <a:picLocks noChangeAspect="1" noChangeArrowheads="1"/>
                    </pic:cNvPicPr>
                  </pic:nvPicPr>
                  <pic:blipFill rotWithShape="1">
                    <a:blip r:embed="rId9" r:link="rId10">
                      <a:extLst>
                        <a:ext uri="{28A0092B-C50C-407E-A947-70E740481C1C}">
                          <a14:useLocalDpi xmlns:a14="http://schemas.microsoft.com/office/drawing/2010/main" val="0"/>
                        </a:ext>
                      </a:extLst>
                    </a:blip>
                    <a:srcRect l="4812" t="2642" r="7980" b="626"/>
                    <a:stretch/>
                  </pic:blipFill>
                  <pic:spPr bwMode="auto">
                    <a:xfrm>
                      <a:off x="0" y="0"/>
                      <a:ext cx="3626834" cy="3051835"/>
                    </a:xfrm>
                    <a:prstGeom prst="rect">
                      <a:avLst/>
                    </a:prstGeom>
                    <a:noFill/>
                    <a:ln>
                      <a:noFill/>
                    </a:ln>
                    <a:extLst>
                      <a:ext uri="{53640926-AAD7-44D8-BBD7-CCE9431645EC}">
                        <a14:shadowObscured xmlns:a14="http://schemas.microsoft.com/office/drawing/2010/main"/>
                      </a:ext>
                    </a:extLst>
                  </pic:spPr>
                </pic:pic>
              </a:graphicData>
            </a:graphic>
          </wp:inline>
        </w:drawing>
      </w:r>
    </w:p>
    <w:p w14:paraId="1FCDC39B" w14:textId="6AB197C4" w:rsidR="0048716B" w:rsidRDefault="0048716B" w:rsidP="008B463A">
      <w:pPr>
        <w:jc w:val="center"/>
      </w:pPr>
      <w:r>
        <w:rPr>
          <w:noProof/>
          <w:color w:val="1F497D"/>
        </w:rPr>
        <w:drawing>
          <wp:inline distT="0" distB="0" distL="0" distR="0" wp14:anchorId="3A1827AD" wp14:editId="404E69A3">
            <wp:extent cx="3880884" cy="3209025"/>
            <wp:effectExtent l="0" t="0" r="5715" b="0"/>
            <wp:docPr id="4" name="Picture 4" descr="cid:image002.png@01D46F55.8C54D4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6F55.8C54D4A0"/>
                    <pic:cNvPicPr>
                      <a:picLocks noChangeAspect="1" noChangeArrowheads="1"/>
                    </pic:cNvPicPr>
                  </pic:nvPicPr>
                  <pic:blipFill rotWithShape="1">
                    <a:blip r:embed="rId11" r:link="rId12">
                      <a:extLst>
                        <a:ext uri="{28A0092B-C50C-407E-A947-70E740481C1C}">
                          <a14:useLocalDpi xmlns:a14="http://schemas.microsoft.com/office/drawing/2010/main" val="0"/>
                        </a:ext>
                      </a:extLst>
                    </a:blip>
                    <a:srcRect l="3394" t="2666" r="8984" b="533"/>
                    <a:stretch/>
                  </pic:blipFill>
                  <pic:spPr bwMode="auto">
                    <a:xfrm>
                      <a:off x="0" y="0"/>
                      <a:ext cx="3889082" cy="3215804"/>
                    </a:xfrm>
                    <a:prstGeom prst="rect">
                      <a:avLst/>
                    </a:prstGeom>
                    <a:noFill/>
                    <a:ln>
                      <a:noFill/>
                    </a:ln>
                    <a:extLst>
                      <a:ext uri="{53640926-AAD7-44D8-BBD7-CCE9431645EC}">
                        <a14:shadowObscured xmlns:a14="http://schemas.microsoft.com/office/drawing/2010/main"/>
                      </a:ext>
                    </a:extLst>
                  </pic:spPr>
                </pic:pic>
              </a:graphicData>
            </a:graphic>
          </wp:inline>
        </w:drawing>
      </w:r>
    </w:p>
    <w:p w14:paraId="797B7A43" w14:textId="1AFE2FFE" w:rsidR="008B463A" w:rsidRDefault="008B463A" w:rsidP="0048716B">
      <w:pPr>
        <w:jc w:val="center"/>
        <w:rPr>
          <w:b/>
        </w:rPr>
      </w:pPr>
      <w:r w:rsidRPr="00C05D07">
        <w:rPr>
          <w:b/>
        </w:rPr>
        <w:t xml:space="preserve">Figure </w:t>
      </w:r>
      <w:r w:rsidRPr="00C05D07">
        <w:rPr>
          <w:b/>
        </w:rPr>
        <w:fldChar w:fldCharType="begin"/>
      </w:r>
      <w:r w:rsidRPr="00C05D07">
        <w:rPr>
          <w:b/>
        </w:rPr>
        <w:instrText xml:space="preserve"> SEQ Figure \* ARABIC </w:instrText>
      </w:r>
      <w:r w:rsidRPr="00C05D07">
        <w:rPr>
          <w:b/>
        </w:rPr>
        <w:fldChar w:fldCharType="separate"/>
      </w:r>
      <w:r w:rsidR="00BC1448">
        <w:rPr>
          <w:b/>
          <w:noProof/>
        </w:rPr>
        <w:t>2</w:t>
      </w:r>
      <w:r w:rsidRPr="00C05D07">
        <w:rPr>
          <w:b/>
        </w:rPr>
        <w:fldChar w:fldCharType="end"/>
      </w:r>
      <w:r w:rsidRPr="00C05D07">
        <w:rPr>
          <w:b/>
        </w:rPr>
        <w:t xml:space="preserve">. </w:t>
      </w:r>
      <w:r>
        <w:rPr>
          <w:b/>
        </w:rPr>
        <w:t xml:space="preserve">DL </w:t>
      </w:r>
      <w:r w:rsidR="009F1587">
        <w:rPr>
          <w:b/>
        </w:rPr>
        <w:t xml:space="preserve">geometry </w:t>
      </w:r>
      <w:r>
        <w:rPr>
          <w:b/>
        </w:rPr>
        <w:t xml:space="preserve">SINR CDF, </w:t>
      </w:r>
      <w:r w:rsidR="009F1587" w:rsidRPr="009F1587">
        <w:rPr>
          <w:b/>
        </w:rPr>
        <w:t xml:space="preserve">for </w:t>
      </w:r>
      <w:r w:rsidR="0048716B">
        <w:rPr>
          <w:b/>
        </w:rPr>
        <w:t>agreed assumptions</w:t>
      </w:r>
      <w:r w:rsidR="009F1587" w:rsidRPr="009F1587">
        <w:rPr>
          <w:b/>
        </w:rPr>
        <w:t xml:space="preserve"> in eURLLC</w:t>
      </w:r>
      <w:r w:rsidR="0038724F">
        <w:rPr>
          <w:b/>
        </w:rPr>
        <w:t xml:space="preserve"> </w:t>
      </w:r>
      <w:r w:rsidR="00666904">
        <w:rPr>
          <w:b/>
        </w:rPr>
        <w:t xml:space="preserve">as in </w:t>
      </w:r>
      <w:r w:rsidR="0038724F">
        <w:rPr>
          <w:b/>
        </w:rPr>
        <w:t>[2]</w:t>
      </w:r>
      <w:r>
        <w:rPr>
          <w:b/>
        </w:rPr>
        <w:t>.</w:t>
      </w:r>
    </w:p>
    <w:p w14:paraId="3F44766E" w14:textId="33B91EAC" w:rsidR="009F1587" w:rsidRPr="007552DE" w:rsidRDefault="009F1587" w:rsidP="0048716B">
      <w:r>
        <w:rPr>
          <w:szCs w:val="28"/>
        </w:rPr>
        <w:t>Accordingly, the</w:t>
      </w:r>
      <w:r w:rsidRPr="009F1587">
        <w:rPr>
          <w:szCs w:val="28"/>
        </w:rPr>
        <w:t xml:space="preserve"> estimated 5% </w:t>
      </w:r>
      <w:r>
        <w:rPr>
          <w:szCs w:val="28"/>
        </w:rPr>
        <w:t>point for p</w:t>
      </w:r>
      <w:r w:rsidRPr="009F1587">
        <w:rPr>
          <w:szCs w:val="28"/>
        </w:rPr>
        <w:t>ower distribution</w:t>
      </w:r>
      <w:r>
        <w:rPr>
          <w:szCs w:val="28"/>
        </w:rPr>
        <w:t xml:space="preserve"> </w:t>
      </w:r>
      <w:r w:rsidR="00DC1572">
        <w:rPr>
          <w:szCs w:val="28"/>
        </w:rPr>
        <w:t>scenarios</w:t>
      </w:r>
      <w:r w:rsidRPr="009F1587">
        <w:rPr>
          <w:szCs w:val="28"/>
        </w:rPr>
        <w:t xml:space="preserve"> is around</w:t>
      </w:r>
      <w:r>
        <w:rPr>
          <w:szCs w:val="28"/>
        </w:rPr>
        <w:t xml:space="preserve"> -</w:t>
      </w:r>
      <w:r w:rsidR="0048716B">
        <w:rPr>
          <w:szCs w:val="28"/>
        </w:rPr>
        <w:t>2.2</w:t>
      </w:r>
      <w:r w:rsidRPr="009F1587">
        <w:rPr>
          <w:szCs w:val="28"/>
        </w:rPr>
        <w:t>dB, for transport industry</w:t>
      </w:r>
      <w:r w:rsidR="007552DE">
        <w:rPr>
          <w:szCs w:val="28"/>
        </w:rPr>
        <w:t xml:space="preserve"> it</w:t>
      </w:r>
      <w:r w:rsidRPr="009F1587">
        <w:rPr>
          <w:szCs w:val="28"/>
        </w:rPr>
        <w:t xml:space="preserve"> is around -</w:t>
      </w:r>
      <w:r w:rsidR="0048716B">
        <w:rPr>
          <w:szCs w:val="28"/>
        </w:rPr>
        <w:t>3</w:t>
      </w:r>
      <w:r w:rsidRPr="009F1587">
        <w:rPr>
          <w:szCs w:val="28"/>
        </w:rPr>
        <w:t xml:space="preserve">dB, and for factory automation </w:t>
      </w:r>
      <w:r w:rsidR="007552DE">
        <w:rPr>
          <w:szCs w:val="28"/>
        </w:rPr>
        <w:t xml:space="preserve">it </w:t>
      </w:r>
      <w:r w:rsidRPr="009F1587">
        <w:rPr>
          <w:szCs w:val="28"/>
        </w:rPr>
        <w:t>is around -</w:t>
      </w:r>
      <w:r w:rsidR="0048716B">
        <w:rPr>
          <w:szCs w:val="28"/>
        </w:rPr>
        <w:t>4</w:t>
      </w:r>
      <w:r w:rsidRPr="009F1587">
        <w:rPr>
          <w:szCs w:val="28"/>
        </w:rPr>
        <w:t>.</w:t>
      </w:r>
      <w:r w:rsidR="0048716B">
        <w:rPr>
          <w:szCs w:val="28"/>
        </w:rPr>
        <w:t>2</w:t>
      </w:r>
      <w:r w:rsidRPr="009F1587">
        <w:rPr>
          <w:szCs w:val="28"/>
        </w:rPr>
        <w:t>dB.</w:t>
      </w:r>
      <w:r w:rsidR="007552DE">
        <w:rPr>
          <w:szCs w:val="28"/>
        </w:rPr>
        <w:t xml:space="preserve"> Also,</w:t>
      </w:r>
      <w:r w:rsidR="007552DE" w:rsidRPr="007552DE">
        <w:rPr>
          <w:szCs w:val="28"/>
        </w:rPr>
        <w:t xml:space="preserve"> </w:t>
      </w:r>
      <w:r w:rsidR="007552DE">
        <w:rPr>
          <w:szCs w:val="28"/>
        </w:rPr>
        <w:t xml:space="preserve">1 dB </w:t>
      </w:r>
      <w:r w:rsidR="007552DE" w:rsidRPr="007552DE">
        <w:rPr>
          <w:szCs w:val="28"/>
        </w:rPr>
        <w:t xml:space="preserve">handover margin </w:t>
      </w:r>
      <w:r w:rsidR="0048716B">
        <w:rPr>
          <w:szCs w:val="28"/>
        </w:rPr>
        <w:t xml:space="preserve">may </w:t>
      </w:r>
      <w:r w:rsidR="007552DE">
        <w:rPr>
          <w:szCs w:val="28"/>
        </w:rPr>
        <w:t xml:space="preserve">be considered corresponding to such </w:t>
      </w:r>
      <w:r w:rsidR="007552DE" w:rsidRPr="007552DE">
        <w:rPr>
          <w:szCs w:val="28"/>
        </w:rPr>
        <w:t>results</w:t>
      </w:r>
      <w:r w:rsidR="007552DE">
        <w:rPr>
          <w:szCs w:val="28"/>
        </w:rPr>
        <w:t>, unlike in Rel-15 evaluations where</w:t>
      </w:r>
      <w:r w:rsidR="007552DE" w:rsidRPr="007552DE">
        <w:rPr>
          <w:szCs w:val="28"/>
        </w:rPr>
        <w:t xml:space="preserve"> </w:t>
      </w:r>
      <w:r w:rsidR="007552DE">
        <w:rPr>
          <w:szCs w:val="28"/>
        </w:rPr>
        <w:t>no margin were considered.</w:t>
      </w:r>
    </w:p>
    <w:p w14:paraId="2939555D" w14:textId="77777777" w:rsidR="009F1587" w:rsidRPr="009F1587" w:rsidRDefault="009F1587" w:rsidP="009F1587">
      <w:pPr>
        <w:rPr>
          <w:szCs w:val="28"/>
        </w:rPr>
      </w:pPr>
    </w:p>
    <w:p w14:paraId="110E5341" w14:textId="77777777" w:rsidR="008B463A" w:rsidRPr="008B463A" w:rsidRDefault="008B463A" w:rsidP="008B463A">
      <w:pPr>
        <w:pStyle w:val="Heading2"/>
        <w:keepLines/>
        <w:numPr>
          <w:ilvl w:val="0"/>
          <w:numId w:val="22"/>
        </w:numPr>
        <w:overflowPunct w:val="0"/>
        <w:snapToGrid/>
        <w:spacing w:before="180"/>
        <w:jc w:val="left"/>
        <w:textAlignment w:val="baseline"/>
        <w:rPr>
          <w:rFonts w:ascii="Arial" w:hAnsi="Arial"/>
          <w:b w:val="0"/>
          <w:bCs w:val="0"/>
          <w:sz w:val="32"/>
          <w:szCs w:val="20"/>
          <w:lang w:val="en-GB"/>
        </w:rPr>
      </w:pPr>
      <w:r w:rsidRPr="008B463A">
        <w:rPr>
          <w:rFonts w:ascii="Arial" w:hAnsi="Arial"/>
          <w:b w:val="0"/>
          <w:bCs w:val="0"/>
          <w:sz w:val="32"/>
          <w:szCs w:val="20"/>
          <w:lang w:val="en-GB"/>
        </w:rPr>
        <w:lastRenderedPageBreak/>
        <w:t>Simulation Evaluation Assumptions</w:t>
      </w:r>
    </w:p>
    <w:tbl>
      <w:tblPr>
        <w:tblW w:w="7498" w:type="dxa"/>
        <w:jc w:val="cente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438"/>
        <w:gridCol w:w="4060"/>
      </w:tblGrid>
      <w:tr w:rsidR="008B463A" w:rsidRPr="00AF1A70" w14:paraId="03A23337"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6D9CA247" w14:textId="77777777" w:rsidR="008B463A" w:rsidRPr="00AF1A70" w:rsidRDefault="008B463A" w:rsidP="00B65CB4">
            <w:pPr>
              <w:rPr>
                <w:rFonts w:eastAsia="PMingLiU"/>
              </w:rPr>
            </w:pPr>
            <w:r w:rsidRPr="00AF1A70">
              <w:rPr>
                <w:b/>
                <w:bCs/>
              </w:rPr>
              <w:t>Parameters</w:t>
            </w:r>
          </w:p>
        </w:tc>
        <w:tc>
          <w:tcPr>
            <w:tcW w:w="4060" w:type="dxa"/>
            <w:tcBorders>
              <w:top w:val="single" w:sz="4" w:space="0" w:color="80C687"/>
              <w:left w:val="single" w:sz="4" w:space="0" w:color="80C687"/>
              <w:bottom w:val="single" w:sz="4" w:space="0" w:color="80C687"/>
              <w:right w:val="single" w:sz="4" w:space="0" w:color="80C687"/>
            </w:tcBorders>
            <w:hideMark/>
          </w:tcPr>
          <w:p w14:paraId="2D0A6A71" w14:textId="77777777" w:rsidR="008B463A" w:rsidRPr="00AF1A70" w:rsidRDefault="008B463A" w:rsidP="00B65CB4">
            <w:r w:rsidRPr="00AF1A70">
              <w:rPr>
                <w:b/>
                <w:bCs/>
              </w:rPr>
              <w:t>Value</w:t>
            </w:r>
          </w:p>
        </w:tc>
      </w:tr>
      <w:tr w:rsidR="008B463A" w:rsidRPr="00AF1A70" w14:paraId="0A93D1FC"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0093875F" w14:textId="77777777" w:rsidR="008B463A" w:rsidRPr="00AF1A70" w:rsidRDefault="008B463A" w:rsidP="00B65CB4">
            <w:r w:rsidRPr="00AF1A70">
              <w:rPr>
                <w:b/>
                <w:bCs/>
              </w:rPr>
              <w:t>DCI payload (excluding 24bits CRC)</w:t>
            </w:r>
          </w:p>
        </w:tc>
        <w:tc>
          <w:tcPr>
            <w:tcW w:w="4060" w:type="dxa"/>
            <w:tcBorders>
              <w:top w:val="single" w:sz="4" w:space="0" w:color="80C687"/>
              <w:left w:val="single" w:sz="4" w:space="0" w:color="80C687"/>
              <w:bottom w:val="single" w:sz="4" w:space="0" w:color="80C687"/>
              <w:right w:val="single" w:sz="4" w:space="0" w:color="80C687"/>
            </w:tcBorders>
            <w:hideMark/>
          </w:tcPr>
          <w:p w14:paraId="36BCF871" w14:textId="77777777" w:rsidR="008B463A" w:rsidRPr="00AF1A70" w:rsidRDefault="008B463A" w:rsidP="00B65CB4">
            <w:r>
              <w:t>40bits</w:t>
            </w:r>
          </w:p>
        </w:tc>
      </w:tr>
      <w:tr w:rsidR="008B463A" w:rsidRPr="00AF1A70" w14:paraId="7671B0F9"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63EB61B3" w14:textId="77777777" w:rsidR="008B463A" w:rsidRPr="00AF1A70" w:rsidRDefault="008B463A" w:rsidP="00B65CB4">
            <w:r w:rsidRPr="00AF1A70">
              <w:rPr>
                <w:b/>
                <w:bCs/>
              </w:rPr>
              <w:t>System bandwidth</w:t>
            </w:r>
          </w:p>
        </w:tc>
        <w:tc>
          <w:tcPr>
            <w:tcW w:w="4060" w:type="dxa"/>
            <w:tcBorders>
              <w:top w:val="single" w:sz="4" w:space="0" w:color="80C687"/>
              <w:left w:val="single" w:sz="4" w:space="0" w:color="80C687"/>
              <w:bottom w:val="single" w:sz="4" w:space="0" w:color="80C687"/>
              <w:right w:val="single" w:sz="4" w:space="0" w:color="80C687"/>
            </w:tcBorders>
            <w:hideMark/>
          </w:tcPr>
          <w:p w14:paraId="580FEFDC" w14:textId="77777777" w:rsidR="008B463A" w:rsidRPr="00AF1A70" w:rsidRDefault="008B463A" w:rsidP="00B65CB4">
            <w:r w:rsidRPr="00AF1A70">
              <w:t>20MHz</w:t>
            </w:r>
          </w:p>
        </w:tc>
      </w:tr>
      <w:tr w:rsidR="008B463A" w:rsidRPr="00AF1A70" w14:paraId="7970BC54"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029F2970" w14:textId="77777777" w:rsidR="008B463A" w:rsidRPr="00AF1A70" w:rsidRDefault="008B463A" w:rsidP="00B65CB4">
            <w:r w:rsidRPr="00AF1A70">
              <w:rPr>
                <w:b/>
                <w:bCs/>
              </w:rPr>
              <w:t>Carrier Frequency</w:t>
            </w:r>
          </w:p>
        </w:tc>
        <w:tc>
          <w:tcPr>
            <w:tcW w:w="4060" w:type="dxa"/>
            <w:tcBorders>
              <w:top w:val="single" w:sz="4" w:space="0" w:color="80C687"/>
              <w:left w:val="single" w:sz="4" w:space="0" w:color="80C687"/>
              <w:bottom w:val="single" w:sz="4" w:space="0" w:color="80C687"/>
              <w:right w:val="single" w:sz="4" w:space="0" w:color="80C687"/>
            </w:tcBorders>
            <w:hideMark/>
          </w:tcPr>
          <w:p w14:paraId="2F054D3C" w14:textId="725096F1" w:rsidR="008B463A" w:rsidRPr="00AF1A70" w:rsidRDefault="008B463A" w:rsidP="008B463A">
            <w:r>
              <w:t>4GHz</w:t>
            </w:r>
          </w:p>
        </w:tc>
      </w:tr>
      <w:tr w:rsidR="008B463A" w:rsidRPr="00AF1A70" w14:paraId="33677C16"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74F5E8EF" w14:textId="77777777" w:rsidR="008B463A" w:rsidRPr="00AF1A70" w:rsidRDefault="008B463A" w:rsidP="00B65CB4">
            <w:r w:rsidRPr="00AF1A70">
              <w:rPr>
                <w:b/>
                <w:bCs/>
              </w:rPr>
              <w:t>Number of symbols for CORESET</w:t>
            </w:r>
          </w:p>
        </w:tc>
        <w:tc>
          <w:tcPr>
            <w:tcW w:w="4060" w:type="dxa"/>
            <w:tcBorders>
              <w:top w:val="single" w:sz="4" w:space="0" w:color="80C687"/>
              <w:left w:val="single" w:sz="4" w:space="0" w:color="80C687"/>
              <w:bottom w:val="single" w:sz="4" w:space="0" w:color="80C687"/>
              <w:right w:val="single" w:sz="4" w:space="0" w:color="80C687"/>
            </w:tcBorders>
            <w:hideMark/>
          </w:tcPr>
          <w:p w14:paraId="18F613EF" w14:textId="77777777" w:rsidR="008B463A" w:rsidRPr="00AF1A70" w:rsidRDefault="008B463A" w:rsidP="00B65CB4">
            <w:r w:rsidRPr="00AF1A70">
              <w:t>2</w:t>
            </w:r>
          </w:p>
        </w:tc>
      </w:tr>
      <w:tr w:rsidR="008B463A" w:rsidRPr="00AF1A70" w14:paraId="1243A987"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24101DAD" w14:textId="77777777" w:rsidR="008B463A" w:rsidRPr="00AF1A70" w:rsidRDefault="008B463A" w:rsidP="00B65CB4">
            <w:pPr>
              <w:rPr>
                <w:b/>
                <w:bCs/>
                <w:lang w:eastAsia="zh-CN"/>
              </w:rPr>
            </w:pPr>
            <w:r w:rsidRPr="00AF1A70">
              <w:rPr>
                <w:b/>
                <w:bCs/>
                <w:lang w:eastAsia="zh-CN"/>
              </w:rPr>
              <w:t>CORESET BW (contiguous PRB allocation)</w:t>
            </w:r>
          </w:p>
        </w:tc>
        <w:tc>
          <w:tcPr>
            <w:tcW w:w="4060" w:type="dxa"/>
            <w:tcBorders>
              <w:top w:val="single" w:sz="4" w:space="0" w:color="80C687"/>
              <w:left w:val="single" w:sz="4" w:space="0" w:color="80C687"/>
              <w:bottom w:val="single" w:sz="4" w:space="0" w:color="80C687"/>
              <w:right w:val="single" w:sz="4" w:space="0" w:color="80C687"/>
            </w:tcBorders>
            <w:hideMark/>
          </w:tcPr>
          <w:p w14:paraId="194F4CD8" w14:textId="77777777" w:rsidR="008B463A" w:rsidRPr="00AF1A70" w:rsidRDefault="008B463A" w:rsidP="00B65CB4">
            <w:pPr>
              <w:rPr>
                <w:rFonts w:eastAsia="PMingLiU"/>
              </w:rPr>
            </w:pPr>
            <w:r w:rsidRPr="00AF1A70">
              <w:rPr>
                <w:lang w:eastAsia="zh-CN"/>
              </w:rPr>
              <w:t>20MHz</w:t>
            </w:r>
          </w:p>
        </w:tc>
      </w:tr>
      <w:tr w:rsidR="008B463A" w:rsidRPr="00AF1A70" w14:paraId="0544355E"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48CB5637" w14:textId="77777777" w:rsidR="008B463A" w:rsidRPr="00AF1A70" w:rsidRDefault="008B463A" w:rsidP="00B65CB4">
            <w:pPr>
              <w:rPr>
                <w:b/>
                <w:bCs/>
                <w:lang w:eastAsia="zh-CN"/>
              </w:rPr>
            </w:pPr>
            <w:r w:rsidRPr="00AF1A70">
              <w:rPr>
                <w:b/>
                <w:bCs/>
                <w:lang w:eastAsia="zh-CN"/>
              </w:rPr>
              <w:t>Subcarrier spacing</w:t>
            </w:r>
          </w:p>
        </w:tc>
        <w:tc>
          <w:tcPr>
            <w:tcW w:w="4060" w:type="dxa"/>
            <w:tcBorders>
              <w:top w:val="single" w:sz="4" w:space="0" w:color="80C687"/>
              <w:left w:val="single" w:sz="4" w:space="0" w:color="80C687"/>
              <w:bottom w:val="single" w:sz="4" w:space="0" w:color="80C687"/>
              <w:right w:val="single" w:sz="4" w:space="0" w:color="80C687"/>
            </w:tcBorders>
            <w:hideMark/>
          </w:tcPr>
          <w:p w14:paraId="3BB76255" w14:textId="77777777" w:rsidR="008B463A" w:rsidRPr="00AF1A70" w:rsidRDefault="008B463A" w:rsidP="00B65CB4">
            <w:pPr>
              <w:rPr>
                <w:lang w:eastAsia="zh-CN"/>
              </w:rPr>
            </w:pPr>
            <w:r w:rsidRPr="00AF1A70">
              <w:rPr>
                <w:lang w:eastAsia="zh-CN"/>
              </w:rPr>
              <w:t>30KHz</w:t>
            </w:r>
          </w:p>
        </w:tc>
      </w:tr>
      <w:tr w:rsidR="008B463A" w:rsidRPr="00AF1A70" w14:paraId="4AB55BC4"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24C00C80" w14:textId="77777777" w:rsidR="008B463A" w:rsidRPr="00AF1A70" w:rsidRDefault="008B463A" w:rsidP="00B65CB4">
            <w:pPr>
              <w:rPr>
                <w:rFonts w:eastAsia="PMingLiU"/>
              </w:rPr>
            </w:pPr>
            <w:r w:rsidRPr="00AF1A70">
              <w:rPr>
                <w:b/>
                <w:bCs/>
              </w:rPr>
              <w:t>Transmission type</w:t>
            </w:r>
          </w:p>
        </w:tc>
        <w:tc>
          <w:tcPr>
            <w:tcW w:w="4060" w:type="dxa"/>
            <w:tcBorders>
              <w:top w:val="single" w:sz="4" w:space="0" w:color="80C687"/>
              <w:left w:val="single" w:sz="4" w:space="0" w:color="80C687"/>
              <w:bottom w:val="single" w:sz="4" w:space="0" w:color="80C687"/>
              <w:right w:val="single" w:sz="4" w:space="0" w:color="80C687"/>
            </w:tcBorders>
            <w:hideMark/>
          </w:tcPr>
          <w:p w14:paraId="76AC4A90" w14:textId="77777777" w:rsidR="008B463A" w:rsidRPr="00AF1A70" w:rsidRDefault="008B463A" w:rsidP="00B65CB4">
            <w:r w:rsidRPr="00AF1A70">
              <w:t>Interleaved</w:t>
            </w:r>
          </w:p>
        </w:tc>
      </w:tr>
      <w:tr w:rsidR="008B463A" w:rsidRPr="00AF1A70" w14:paraId="323CA793"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2A8E45F2" w14:textId="77777777" w:rsidR="008B463A" w:rsidRPr="00AF1A70" w:rsidRDefault="008B463A" w:rsidP="00B65CB4">
            <w:pPr>
              <w:rPr>
                <w:b/>
                <w:bCs/>
              </w:rPr>
            </w:pPr>
            <w:r w:rsidRPr="00AF1A70">
              <w:rPr>
                <w:b/>
                <w:bCs/>
              </w:rPr>
              <w:t>REG bundling size</w:t>
            </w:r>
          </w:p>
        </w:tc>
        <w:tc>
          <w:tcPr>
            <w:tcW w:w="4060" w:type="dxa"/>
            <w:tcBorders>
              <w:top w:val="single" w:sz="4" w:space="0" w:color="80C687"/>
              <w:left w:val="single" w:sz="4" w:space="0" w:color="80C687"/>
              <w:bottom w:val="single" w:sz="4" w:space="0" w:color="80C687"/>
              <w:right w:val="single" w:sz="4" w:space="0" w:color="80C687"/>
            </w:tcBorders>
            <w:hideMark/>
          </w:tcPr>
          <w:p w14:paraId="2F1E234A" w14:textId="77777777" w:rsidR="008B463A" w:rsidRPr="00AF1A70" w:rsidRDefault="008B463A" w:rsidP="00B65CB4">
            <w:pPr>
              <w:rPr>
                <w:lang w:eastAsia="zh-CN"/>
              </w:rPr>
            </w:pPr>
            <w:r w:rsidRPr="00AF1A70">
              <w:rPr>
                <w:lang w:eastAsia="zh-CN"/>
              </w:rPr>
              <w:t>6</w:t>
            </w:r>
          </w:p>
        </w:tc>
      </w:tr>
      <w:tr w:rsidR="008B463A" w:rsidRPr="00AF1A70" w14:paraId="174769D0"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5BF57623" w14:textId="77777777" w:rsidR="008B463A" w:rsidRPr="00AF1A70" w:rsidRDefault="008B463A" w:rsidP="00B65CB4">
            <w:pPr>
              <w:rPr>
                <w:b/>
                <w:lang w:eastAsia="zh-CN"/>
              </w:rPr>
            </w:pPr>
            <w:r w:rsidRPr="00AF1A70">
              <w:rPr>
                <w:b/>
                <w:lang w:eastAsia="zh-CN"/>
              </w:rPr>
              <w:t xml:space="preserve">Modulation </w:t>
            </w:r>
          </w:p>
        </w:tc>
        <w:tc>
          <w:tcPr>
            <w:tcW w:w="4060" w:type="dxa"/>
            <w:tcBorders>
              <w:top w:val="single" w:sz="4" w:space="0" w:color="80C687"/>
              <w:left w:val="single" w:sz="4" w:space="0" w:color="80C687"/>
              <w:bottom w:val="single" w:sz="4" w:space="0" w:color="80C687"/>
              <w:right w:val="single" w:sz="4" w:space="0" w:color="80C687"/>
            </w:tcBorders>
            <w:hideMark/>
          </w:tcPr>
          <w:p w14:paraId="72C1FE58" w14:textId="77777777" w:rsidR="008B463A" w:rsidRPr="00AF1A70" w:rsidRDefault="008B463A" w:rsidP="00B65CB4">
            <w:pPr>
              <w:rPr>
                <w:lang w:eastAsia="zh-CN"/>
              </w:rPr>
            </w:pPr>
            <w:r w:rsidRPr="00AF1A70">
              <w:rPr>
                <w:lang w:eastAsia="zh-CN"/>
              </w:rPr>
              <w:t>QPSK</w:t>
            </w:r>
          </w:p>
        </w:tc>
      </w:tr>
      <w:tr w:rsidR="008B463A" w:rsidRPr="00AF1A70" w14:paraId="51860CC9"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29B2FD26" w14:textId="77777777" w:rsidR="008B463A" w:rsidRPr="00AF1A70" w:rsidRDefault="008B463A" w:rsidP="00B65CB4">
            <w:pPr>
              <w:rPr>
                <w:rFonts w:eastAsia="PMingLiU"/>
              </w:rPr>
            </w:pPr>
            <w:r w:rsidRPr="00AF1A70">
              <w:rPr>
                <w:b/>
                <w:bCs/>
              </w:rPr>
              <w:t>Channel coding</w:t>
            </w:r>
          </w:p>
        </w:tc>
        <w:tc>
          <w:tcPr>
            <w:tcW w:w="4060" w:type="dxa"/>
            <w:tcBorders>
              <w:top w:val="single" w:sz="4" w:space="0" w:color="80C687"/>
              <w:left w:val="single" w:sz="4" w:space="0" w:color="80C687"/>
              <w:bottom w:val="single" w:sz="4" w:space="0" w:color="80C687"/>
              <w:right w:val="single" w:sz="4" w:space="0" w:color="80C687"/>
            </w:tcBorders>
            <w:hideMark/>
          </w:tcPr>
          <w:p w14:paraId="52A65134" w14:textId="77777777" w:rsidR="008B463A" w:rsidRPr="00AF1A70" w:rsidRDefault="008B463A" w:rsidP="00B65CB4">
            <w:r w:rsidRPr="00AF1A70">
              <w:t>Polar code (DCI)</w:t>
            </w:r>
          </w:p>
        </w:tc>
      </w:tr>
      <w:tr w:rsidR="008B463A" w:rsidRPr="00AF1A70" w14:paraId="3319FEDF"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1EA54D25" w14:textId="77777777" w:rsidR="008B463A" w:rsidRPr="00AF1A70" w:rsidRDefault="008B463A" w:rsidP="00B65CB4">
            <w:r w:rsidRPr="00AF1A70">
              <w:rPr>
                <w:b/>
                <w:bCs/>
              </w:rPr>
              <w:t>Transmission scheme</w:t>
            </w:r>
          </w:p>
        </w:tc>
        <w:tc>
          <w:tcPr>
            <w:tcW w:w="4060" w:type="dxa"/>
            <w:tcBorders>
              <w:top w:val="single" w:sz="4" w:space="0" w:color="80C687"/>
              <w:left w:val="single" w:sz="4" w:space="0" w:color="80C687"/>
              <w:bottom w:val="single" w:sz="4" w:space="0" w:color="80C687"/>
              <w:right w:val="single" w:sz="4" w:space="0" w:color="80C687"/>
            </w:tcBorders>
            <w:hideMark/>
          </w:tcPr>
          <w:p w14:paraId="468D3AEA" w14:textId="77777777" w:rsidR="008B463A" w:rsidRPr="00AF1A70" w:rsidRDefault="008B463A" w:rsidP="00B65CB4">
            <w:r w:rsidRPr="00AF1A70">
              <w:t>1-port precoder cycling</w:t>
            </w:r>
          </w:p>
        </w:tc>
      </w:tr>
      <w:tr w:rsidR="008B463A" w:rsidRPr="00AF1A70" w14:paraId="0F202951" w14:textId="77777777" w:rsidTr="00B65CB4">
        <w:trPr>
          <w:trHeight w:val="70"/>
          <w:jc w:val="center"/>
        </w:trPr>
        <w:tc>
          <w:tcPr>
            <w:tcW w:w="3438" w:type="dxa"/>
            <w:tcBorders>
              <w:top w:val="single" w:sz="4" w:space="0" w:color="80C687"/>
              <w:left w:val="single" w:sz="4" w:space="0" w:color="80C687"/>
              <w:bottom w:val="single" w:sz="4" w:space="0" w:color="80C687"/>
              <w:right w:val="single" w:sz="4" w:space="0" w:color="80C687"/>
            </w:tcBorders>
            <w:hideMark/>
          </w:tcPr>
          <w:p w14:paraId="07537F04" w14:textId="77777777" w:rsidR="008B463A" w:rsidRPr="00AF1A70" w:rsidRDefault="008B463A" w:rsidP="00B65CB4">
            <w:r w:rsidRPr="00AF1A70">
              <w:rPr>
                <w:b/>
                <w:bCs/>
              </w:rPr>
              <w:t>Channel estimation</w:t>
            </w:r>
          </w:p>
        </w:tc>
        <w:tc>
          <w:tcPr>
            <w:tcW w:w="4060" w:type="dxa"/>
            <w:tcBorders>
              <w:top w:val="single" w:sz="4" w:space="0" w:color="80C687"/>
              <w:left w:val="single" w:sz="4" w:space="0" w:color="80C687"/>
              <w:bottom w:val="single" w:sz="4" w:space="0" w:color="80C687"/>
              <w:right w:val="single" w:sz="4" w:space="0" w:color="80C687"/>
            </w:tcBorders>
            <w:hideMark/>
          </w:tcPr>
          <w:p w14:paraId="293C734D" w14:textId="77777777" w:rsidR="008B463A" w:rsidRPr="00AF1A70" w:rsidRDefault="008B463A" w:rsidP="00B65CB4">
            <w:r w:rsidRPr="00AF1A70">
              <w:t>Realistic</w:t>
            </w:r>
          </w:p>
        </w:tc>
      </w:tr>
      <w:tr w:rsidR="008B463A" w:rsidRPr="00AF1A70" w14:paraId="0ABA4D9C" w14:textId="77777777" w:rsidTr="00B65CB4">
        <w:trPr>
          <w:trHeight w:val="446"/>
          <w:jc w:val="center"/>
        </w:trPr>
        <w:tc>
          <w:tcPr>
            <w:tcW w:w="3438" w:type="dxa"/>
            <w:tcBorders>
              <w:top w:val="single" w:sz="4" w:space="0" w:color="80C687"/>
              <w:left w:val="single" w:sz="4" w:space="0" w:color="80C687"/>
              <w:bottom w:val="single" w:sz="4" w:space="0" w:color="80C687"/>
              <w:right w:val="single" w:sz="4" w:space="0" w:color="80C687"/>
            </w:tcBorders>
            <w:hideMark/>
          </w:tcPr>
          <w:p w14:paraId="5FDDC1D2" w14:textId="77777777" w:rsidR="008B463A" w:rsidRPr="00AF1A70" w:rsidRDefault="008B463A" w:rsidP="00B65CB4">
            <w:r w:rsidRPr="00AF1A70">
              <w:rPr>
                <w:b/>
                <w:bCs/>
              </w:rPr>
              <w:t>Channel model</w:t>
            </w:r>
          </w:p>
        </w:tc>
        <w:tc>
          <w:tcPr>
            <w:tcW w:w="4060" w:type="dxa"/>
            <w:tcBorders>
              <w:top w:val="single" w:sz="4" w:space="0" w:color="80C687"/>
              <w:left w:val="single" w:sz="4" w:space="0" w:color="80C687"/>
              <w:bottom w:val="single" w:sz="4" w:space="0" w:color="80C687"/>
              <w:right w:val="single" w:sz="4" w:space="0" w:color="80C687"/>
            </w:tcBorders>
            <w:hideMark/>
          </w:tcPr>
          <w:p w14:paraId="5961745F" w14:textId="77777777" w:rsidR="008B463A" w:rsidRPr="00AF1A70" w:rsidRDefault="008B463A" w:rsidP="00B65CB4">
            <w:r w:rsidRPr="00AF1A70">
              <w:t>TDL-A (delay spread: 30ns)</w:t>
            </w:r>
          </w:p>
        </w:tc>
      </w:tr>
      <w:tr w:rsidR="008B463A" w:rsidRPr="00AF1A70" w14:paraId="29313378"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28401F22" w14:textId="77777777" w:rsidR="008B463A" w:rsidRPr="00AF1A70" w:rsidRDefault="008B463A" w:rsidP="00B65CB4">
            <w:r w:rsidRPr="00AF1A70">
              <w:rPr>
                <w:b/>
                <w:bCs/>
              </w:rPr>
              <w:t>UE speed</w:t>
            </w:r>
          </w:p>
        </w:tc>
        <w:tc>
          <w:tcPr>
            <w:tcW w:w="4060" w:type="dxa"/>
            <w:tcBorders>
              <w:top w:val="single" w:sz="4" w:space="0" w:color="80C687"/>
              <w:left w:val="single" w:sz="4" w:space="0" w:color="80C687"/>
              <w:bottom w:val="single" w:sz="4" w:space="0" w:color="80C687"/>
              <w:right w:val="single" w:sz="4" w:space="0" w:color="80C687"/>
            </w:tcBorders>
            <w:hideMark/>
          </w:tcPr>
          <w:p w14:paraId="3EF71D70" w14:textId="77777777" w:rsidR="008B463A" w:rsidRPr="00AF1A70" w:rsidRDefault="008B463A" w:rsidP="00B65CB4">
            <w:r w:rsidRPr="00AF1A70">
              <w:t>3 km/h</w:t>
            </w:r>
          </w:p>
        </w:tc>
      </w:tr>
      <w:tr w:rsidR="008B463A" w:rsidRPr="00AF1A70" w14:paraId="2002C2BB"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5F905E01" w14:textId="77777777" w:rsidR="008B463A" w:rsidRPr="00AF1A70" w:rsidRDefault="008B463A" w:rsidP="00B65CB4">
            <w:r w:rsidRPr="00AF1A70">
              <w:rPr>
                <w:b/>
                <w:bCs/>
              </w:rPr>
              <w:t>Number of BS antennas</w:t>
            </w:r>
          </w:p>
        </w:tc>
        <w:tc>
          <w:tcPr>
            <w:tcW w:w="4060" w:type="dxa"/>
            <w:tcBorders>
              <w:top w:val="single" w:sz="4" w:space="0" w:color="80C687"/>
              <w:left w:val="single" w:sz="4" w:space="0" w:color="80C687"/>
              <w:bottom w:val="single" w:sz="4" w:space="0" w:color="80C687"/>
              <w:right w:val="single" w:sz="4" w:space="0" w:color="80C687"/>
            </w:tcBorders>
            <w:hideMark/>
          </w:tcPr>
          <w:p w14:paraId="40733D48" w14:textId="77777777" w:rsidR="008B463A" w:rsidRPr="00AF1A70" w:rsidRDefault="008B463A" w:rsidP="00B65CB4">
            <w:r w:rsidRPr="00AF1A70">
              <w:t>2Tx</w:t>
            </w:r>
          </w:p>
        </w:tc>
      </w:tr>
      <w:tr w:rsidR="008B463A" w:rsidRPr="00AF1A70" w14:paraId="4CB888CD"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24F55607" w14:textId="77777777" w:rsidR="008B463A" w:rsidRPr="00AF1A70" w:rsidRDefault="008B463A" w:rsidP="00B65CB4">
            <w:r w:rsidRPr="00AF1A70">
              <w:rPr>
                <w:b/>
                <w:bCs/>
              </w:rPr>
              <w:t>Number of UE antennas</w:t>
            </w:r>
          </w:p>
        </w:tc>
        <w:tc>
          <w:tcPr>
            <w:tcW w:w="4060" w:type="dxa"/>
            <w:tcBorders>
              <w:top w:val="single" w:sz="4" w:space="0" w:color="80C687"/>
              <w:left w:val="single" w:sz="4" w:space="0" w:color="80C687"/>
              <w:bottom w:val="single" w:sz="4" w:space="0" w:color="80C687"/>
              <w:right w:val="single" w:sz="4" w:space="0" w:color="80C687"/>
            </w:tcBorders>
            <w:hideMark/>
          </w:tcPr>
          <w:p w14:paraId="72F21911" w14:textId="49649B4B" w:rsidR="008B463A" w:rsidRPr="00AF1A70" w:rsidRDefault="008B463A" w:rsidP="008B463A">
            <w:r>
              <w:t>4Rx</w:t>
            </w:r>
          </w:p>
        </w:tc>
      </w:tr>
      <w:tr w:rsidR="008B463A" w:rsidRPr="00AF1A70" w14:paraId="574ED1E0"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5E650267" w14:textId="77777777" w:rsidR="008B463A" w:rsidRPr="00AF1A70" w:rsidRDefault="008B463A" w:rsidP="00B65CB4">
            <w:pPr>
              <w:rPr>
                <w:b/>
                <w:bCs/>
              </w:rPr>
            </w:pPr>
            <w:r w:rsidRPr="00AF1A70">
              <w:rPr>
                <w:b/>
                <w:bCs/>
              </w:rPr>
              <w:t xml:space="preserve">Residual target BLER </w:t>
            </w:r>
          </w:p>
        </w:tc>
        <w:tc>
          <w:tcPr>
            <w:tcW w:w="4060" w:type="dxa"/>
            <w:tcBorders>
              <w:top w:val="single" w:sz="4" w:space="0" w:color="80C687"/>
              <w:left w:val="single" w:sz="4" w:space="0" w:color="80C687"/>
              <w:bottom w:val="single" w:sz="4" w:space="0" w:color="80C687"/>
              <w:right w:val="single" w:sz="4" w:space="0" w:color="80C687"/>
            </w:tcBorders>
            <w:hideMark/>
          </w:tcPr>
          <w:p w14:paraId="641A12C4" w14:textId="43E6B35C" w:rsidR="008B463A" w:rsidRPr="00AF1A70" w:rsidRDefault="008B463A" w:rsidP="00B65CB4">
            <w:pPr>
              <w:rPr>
                <w:lang w:eastAsia="zh-CN"/>
              </w:rPr>
            </w:pPr>
            <w:r>
              <w:rPr>
                <w:lang w:eastAsia="zh-CN"/>
              </w:rPr>
              <w:t>10^-6</w:t>
            </w:r>
          </w:p>
        </w:tc>
      </w:tr>
    </w:tbl>
    <w:p w14:paraId="1F3579A3" w14:textId="77777777" w:rsidR="00545D32" w:rsidRDefault="00545D32" w:rsidP="00545D32">
      <w:pPr>
        <w:widowControl w:val="0"/>
        <w:overflowPunct w:val="0"/>
        <w:snapToGrid/>
        <w:rPr>
          <w:iCs/>
        </w:rPr>
      </w:pPr>
    </w:p>
    <w:p w14:paraId="0AA4307D" w14:textId="77777777" w:rsidR="00E33F02" w:rsidRPr="000D370A" w:rsidRDefault="00E33F02" w:rsidP="00E33F02">
      <w:pPr>
        <w:pStyle w:val="PlainText"/>
        <w:rPr>
          <w:rFonts w:ascii="Courier New" w:hAnsi="Courier New" w:cs="Courier New"/>
        </w:rPr>
      </w:pPr>
    </w:p>
    <w:p w14:paraId="1C4E52B7" w14:textId="77777777" w:rsidR="00E33F02" w:rsidRPr="00CC6227" w:rsidRDefault="00E33F02" w:rsidP="00545D32">
      <w:pPr>
        <w:widowControl w:val="0"/>
        <w:overflowPunct w:val="0"/>
        <w:snapToGrid/>
        <w:rPr>
          <w:iCs/>
        </w:rPr>
      </w:pPr>
    </w:p>
    <w:sectPr w:rsidR="00E33F02" w:rsidRPr="00CC6227">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F512D" w14:textId="77777777" w:rsidR="00144EE1" w:rsidRDefault="00144EE1" w:rsidP="004C0876">
      <w:pPr>
        <w:spacing w:after="0"/>
      </w:pPr>
      <w:r>
        <w:separator/>
      </w:r>
    </w:p>
  </w:endnote>
  <w:endnote w:type="continuationSeparator" w:id="0">
    <w:p w14:paraId="56D8528E" w14:textId="77777777" w:rsidR="00144EE1" w:rsidRDefault="00144EE1"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200F8F" w:rsidRDefault="00200F8F">
        <w:pPr>
          <w:pStyle w:val="Footer"/>
          <w:jc w:val="center"/>
        </w:pPr>
        <w:r>
          <w:fldChar w:fldCharType="begin"/>
        </w:r>
        <w:r>
          <w:instrText xml:space="preserve"> PAGE   \* MERGEFORMAT </w:instrText>
        </w:r>
        <w:r>
          <w:fldChar w:fldCharType="separate"/>
        </w:r>
        <w:r w:rsidR="00F75DAB">
          <w:rPr>
            <w:noProof/>
          </w:rPr>
          <w:t>6</w:t>
        </w:r>
        <w:r>
          <w:rPr>
            <w:noProof/>
          </w:rPr>
          <w:fldChar w:fldCharType="end"/>
        </w:r>
      </w:p>
    </w:sdtContent>
  </w:sdt>
  <w:p w14:paraId="7586F307" w14:textId="77777777" w:rsidR="00200F8F" w:rsidRDefault="00200F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5586F" w14:textId="77777777" w:rsidR="00144EE1" w:rsidRDefault="00144EE1" w:rsidP="004C0876">
      <w:pPr>
        <w:spacing w:after="0"/>
      </w:pPr>
      <w:r>
        <w:separator/>
      </w:r>
    </w:p>
  </w:footnote>
  <w:footnote w:type="continuationSeparator" w:id="0">
    <w:p w14:paraId="273D7F10" w14:textId="77777777" w:rsidR="00144EE1" w:rsidRDefault="00144EE1"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3B9"/>
    <w:multiLevelType w:val="hybridMultilevel"/>
    <w:tmpl w:val="F5C6639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940761"/>
    <w:multiLevelType w:val="hybridMultilevel"/>
    <w:tmpl w:val="99A60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907D9D"/>
    <w:multiLevelType w:val="hybridMultilevel"/>
    <w:tmpl w:val="803864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0"/>
  </w:num>
  <w:num w:numId="2">
    <w:abstractNumId w:val="18"/>
  </w:num>
  <w:num w:numId="3">
    <w:abstractNumId w:val="17"/>
  </w:num>
  <w:num w:numId="4">
    <w:abstractNumId w:val="5"/>
  </w:num>
  <w:num w:numId="5">
    <w:abstractNumId w:val="12"/>
  </w:num>
  <w:num w:numId="6">
    <w:abstractNumId w:val="16"/>
  </w:num>
  <w:num w:numId="7">
    <w:abstractNumId w:val="0"/>
  </w:num>
  <w:num w:numId="8">
    <w:abstractNumId w:val="6"/>
  </w:num>
  <w:num w:numId="9">
    <w:abstractNumId w:val="10"/>
  </w:num>
  <w:num w:numId="10">
    <w:abstractNumId w:val="10"/>
  </w:num>
  <w:num w:numId="11">
    <w:abstractNumId w:val="10"/>
  </w:num>
  <w:num w:numId="12">
    <w:abstractNumId w:val="10"/>
  </w:num>
  <w:num w:numId="13">
    <w:abstractNumId w:val="4"/>
  </w:num>
  <w:num w:numId="14">
    <w:abstractNumId w:val="11"/>
  </w:num>
  <w:num w:numId="15">
    <w:abstractNumId w:val="8"/>
  </w:num>
  <w:num w:numId="16">
    <w:abstractNumId w:val="3"/>
  </w:num>
  <w:num w:numId="17">
    <w:abstractNumId w:val="10"/>
  </w:num>
  <w:num w:numId="18">
    <w:abstractNumId w:val="2"/>
  </w:num>
  <w:num w:numId="19">
    <w:abstractNumId w:val="14"/>
  </w:num>
  <w:num w:numId="20">
    <w:abstractNumId w:val="15"/>
  </w:num>
  <w:num w:numId="21">
    <w:abstractNumId w:val="13"/>
  </w:num>
  <w:num w:numId="22">
    <w:abstractNumId w:val="7"/>
  </w:num>
  <w:num w:numId="23">
    <w:abstractNumId w:val="9"/>
  </w:num>
  <w:num w:numId="2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23AD"/>
    <w:rsid w:val="00012884"/>
    <w:rsid w:val="000140A3"/>
    <w:rsid w:val="00016127"/>
    <w:rsid w:val="000161B0"/>
    <w:rsid w:val="00016E42"/>
    <w:rsid w:val="00031D16"/>
    <w:rsid w:val="00031EE5"/>
    <w:rsid w:val="000333C8"/>
    <w:rsid w:val="0005089C"/>
    <w:rsid w:val="00056843"/>
    <w:rsid w:val="00057A3B"/>
    <w:rsid w:val="00066338"/>
    <w:rsid w:val="00070CD1"/>
    <w:rsid w:val="0007221F"/>
    <w:rsid w:val="0008537E"/>
    <w:rsid w:val="00093F5B"/>
    <w:rsid w:val="000969AE"/>
    <w:rsid w:val="000A03F9"/>
    <w:rsid w:val="000A2FE7"/>
    <w:rsid w:val="000A34D3"/>
    <w:rsid w:val="000B01A0"/>
    <w:rsid w:val="000C17DD"/>
    <w:rsid w:val="000C45B5"/>
    <w:rsid w:val="000D0C2C"/>
    <w:rsid w:val="000E3AFE"/>
    <w:rsid w:val="000F5C68"/>
    <w:rsid w:val="00115D87"/>
    <w:rsid w:val="00117014"/>
    <w:rsid w:val="001170F9"/>
    <w:rsid w:val="00117834"/>
    <w:rsid w:val="001179B7"/>
    <w:rsid w:val="00122885"/>
    <w:rsid w:val="00122E13"/>
    <w:rsid w:val="00124713"/>
    <w:rsid w:val="00126EFC"/>
    <w:rsid w:val="00131566"/>
    <w:rsid w:val="00136150"/>
    <w:rsid w:val="00136B68"/>
    <w:rsid w:val="00143AA5"/>
    <w:rsid w:val="00144EE1"/>
    <w:rsid w:val="00154219"/>
    <w:rsid w:val="00165495"/>
    <w:rsid w:val="00167110"/>
    <w:rsid w:val="00183D53"/>
    <w:rsid w:val="00185C61"/>
    <w:rsid w:val="00186C7F"/>
    <w:rsid w:val="00186F19"/>
    <w:rsid w:val="00192AFC"/>
    <w:rsid w:val="00193D4C"/>
    <w:rsid w:val="001A2F6C"/>
    <w:rsid w:val="001A584E"/>
    <w:rsid w:val="001A5C7A"/>
    <w:rsid w:val="001A7CD0"/>
    <w:rsid w:val="001B0A55"/>
    <w:rsid w:val="001C01A3"/>
    <w:rsid w:val="001D08D5"/>
    <w:rsid w:val="001D0D21"/>
    <w:rsid w:val="001D4654"/>
    <w:rsid w:val="001E06A4"/>
    <w:rsid w:val="001E08B1"/>
    <w:rsid w:val="001E5720"/>
    <w:rsid w:val="001F51E5"/>
    <w:rsid w:val="001F7087"/>
    <w:rsid w:val="00200F8F"/>
    <w:rsid w:val="00205E91"/>
    <w:rsid w:val="0020747E"/>
    <w:rsid w:val="002234A7"/>
    <w:rsid w:val="0023365D"/>
    <w:rsid w:val="002347E5"/>
    <w:rsid w:val="00240004"/>
    <w:rsid w:val="00240A24"/>
    <w:rsid w:val="002470AB"/>
    <w:rsid w:val="002555EA"/>
    <w:rsid w:val="002579A4"/>
    <w:rsid w:val="002605A8"/>
    <w:rsid w:val="0026234E"/>
    <w:rsid w:val="00273359"/>
    <w:rsid w:val="00285D81"/>
    <w:rsid w:val="002940DE"/>
    <w:rsid w:val="002941D2"/>
    <w:rsid w:val="00295114"/>
    <w:rsid w:val="00295E1C"/>
    <w:rsid w:val="002A6E15"/>
    <w:rsid w:val="002C0FF0"/>
    <w:rsid w:val="002C3BEF"/>
    <w:rsid w:val="002C77D0"/>
    <w:rsid w:val="002D1F61"/>
    <w:rsid w:val="002E1C44"/>
    <w:rsid w:val="002E3E83"/>
    <w:rsid w:val="002E6D80"/>
    <w:rsid w:val="00302709"/>
    <w:rsid w:val="00306524"/>
    <w:rsid w:val="0031191B"/>
    <w:rsid w:val="003138D8"/>
    <w:rsid w:val="003161AB"/>
    <w:rsid w:val="00324F04"/>
    <w:rsid w:val="00325D35"/>
    <w:rsid w:val="00326529"/>
    <w:rsid w:val="00327E8D"/>
    <w:rsid w:val="00332DAB"/>
    <w:rsid w:val="003401B2"/>
    <w:rsid w:val="00351238"/>
    <w:rsid w:val="003527B3"/>
    <w:rsid w:val="003557D5"/>
    <w:rsid w:val="00360D81"/>
    <w:rsid w:val="003636FA"/>
    <w:rsid w:val="00365284"/>
    <w:rsid w:val="003714E6"/>
    <w:rsid w:val="00371CD2"/>
    <w:rsid w:val="003729E4"/>
    <w:rsid w:val="00373064"/>
    <w:rsid w:val="003806F5"/>
    <w:rsid w:val="00380B12"/>
    <w:rsid w:val="00384478"/>
    <w:rsid w:val="0038724F"/>
    <w:rsid w:val="0039171C"/>
    <w:rsid w:val="003B4A93"/>
    <w:rsid w:val="003C0107"/>
    <w:rsid w:val="003C3F44"/>
    <w:rsid w:val="003C6EB2"/>
    <w:rsid w:val="003D1F41"/>
    <w:rsid w:val="003D5061"/>
    <w:rsid w:val="003D6804"/>
    <w:rsid w:val="003F2C07"/>
    <w:rsid w:val="003F342A"/>
    <w:rsid w:val="003F3E90"/>
    <w:rsid w:val="003F6055"/>
    <w:rsid w:val="00403808"/>
    <w:rsid w:val="00403F4B"/>
    <w:rsid w:val="00405B58"/>
    <w:rsid w:val="00411A32"/>
    <w:rsid w:val="00421B53"/>
    <w:rsid w:val="00422213"/>
    <w:rsid w:val="004225F4"/>
    <w:rsid w:val="00425AF1"/>
    <w:rsid w:val="00426B9F"/>
    <w:rsid w:val="004316B6"/>
    <w:rsid w:val="00446A9A"/>
    <w:rsid w:val="004539CF"/>
    <w:rsid w:val="00453AE2"/>
    <w:rsid w:val="004540FD"/>
    <w:rsid w:val="00457B09"/>
    <w:rsid w:val="0047289B"/>
    <w:rsid w:val="00472A5C"/>
    <w:rsid w:val="00474429"/>
    <w:rsid w:val="00481CA9"/>
    <w:rsid w:val="0048233C"/>
    <w:rsid w:val="00483DE4"/>
    <w:rsid w:val="0048716B"/>
    <w:rsid w:val="00491ECD"/>
    <w:rsid w:val="004A698C"/>
    <w:rsid w:val="004B1692"/>
    <w:rsid w:val="004B31EF"/>
    <w:rsid w:val="004B56FF"/>
    <w:rsid w:val="004B58F6"/>
    <w:rsid w:val="004C0876"/>
    <w:rsid w:val="004D26CA"/>
    <w:rsid w:val="004D4B46"/>
    <w:rsid w:val="004E1E40"/>
    <w:rsid w:val="004E25E8"/>
    <w:rsid w:val="004E411E"/>
    <w:rsid w:val="004E67E2"/>
    <w:rsid w:val="00501757"/>
    <w:rsid w:val="0050245D"/>
    <w:rsid w:val="0050584C"/>
    <w:rsid w:val="00505BA7"/>
    <w:rsid w:val="005069D7"/>
    <w:rsid w:val="005078CF"/>
    <w:rsid w:val="00511B87"/>
    <w:rsid w:val="0051481E"/>
    <w:rsid w:val="00522CB1"/>
    <w:rsid w:val="00526069"/>
    <w:rsid w:val="005274EA"/>
    <w:rsid w:val="00532625"/>
    <w:rsid w:val="005357B3"/>
    <w:rsid w:val="00536923"/>
    <w:rsid w:val="005432FA"/>
    <w:rsid w:val="00545D32"/>
    <w:rsid w:val="00556F18"/>
    <w:rsid w:val="0056066F"/>
    <w:rsid w:val="005623AD"/>
    <w:rsid w:val="00564D3C"/>
    <w:rsid w:val="00567A07"/>
    <w:rsid w:val="00570C00"/>
    <w:rsid w:val="00575FF3"/>
    <w:rsid w:val="00580364"/>
    <w:rsid w:val="00584507"/>
    <w:rsid w:val="00590AC1"/>
    <w:rsid w:val="0059316E"/>
    <w:rsid w:val="00593743"/>
    <w:rsid w:val="0059616A"/>
    <w:rsid w:val="00597E69"/>
    <w:rsid w:val="005A2C11"/>
    <w:rsid w:val="005A573E"/>
    <w:rsid w:val="005B18BB"/>
    <w:rsid w:val="005B3D3B"/>
    <w:rsid w:val="005C0AEE"/>
    <w:rsid w:val="005C2450"/>
    <w:rsid w:val="005E02C3"/>
    <w:rsid w:val="005E3AFB"/>
    <w:rsid w:val="005E61A6"/>
    <w:rsid w:val="005E6FA9"/>
    <w:rsid w:val="005F1597"/>
    <w:rsid w:val="005F54E8"/>
    <w:rsid w:val="00600954"/>
    <w:rsid w:val="00603F9D"/>
    <w:rsid w:val="00606502"/>
    <w:rsid w:val="006103CC"/>
    <w:rsid w:val="006126E0"/>
    <w:rsid w:val="00613651"/>
    <w:rsid w:val="00617BFF"/>
    <w:rsid w:val="006208F9"/>
    <w:rsid w:val="00624F23"/>
    <w:rsid w:val="00632787"/>
    <w:rsid w:val="00633093"/>
    <w:rsid w:val="00650450"/>
    <w:rsid w:val="00650DF0"/>
    <w:rsid w:val="00651A80"/>
    <w:rsid w:val="00651F55"/>
    <w:rsid w:val="006523A9"/>
    <w:rsid w:val="00652B69"/>
    <w:rsid w:val="00654504"/>
    <w:rsid w:val="006614D5"/>
    <w:rsid w:val="00665D26"/>
    <w:rsid w:val="00666904"/>
    <w:rsid w:val="00666AFD"/>
    <w:rsid w:val="00672262"/>
    <w:rsid w:val="00675E47"/>
    <w:rsid w:val="006808CB"/>
    <w:rsid w:val="00680D79"/>
    <w:rsid w:val="00684CA9"/>
    <w:rsid w:val="00697979"/>
    <w:rsid w:val="006A22AC"/>
    <w:rsid w:val="006A2EE1"/>
    <w:rsid w:val="006A3CB7"/>
    <w:rsid w:val="006A3F3C"/>
    <w:rsid w:val="006A66B9"/>
    <w:rsid w:val="006B15FA"/>
    <w:rsid w:val="006C7448"/>
    <w:rsid w:val="006D0FA8"/>
    <w:rsid w:val="006D2697"/>
    <w:rsid w:val="006D4A0C"/>
    <w:rsid w:val="006D4D28"/>
    <w:rsid w:val="006E4E63"/>
    <w:rsid w:val="006F7390"/>
    <w:rsid w:val="006F791F"/>
    <w:rsid w:val="00700C77"/>
    <w:rsid w:val="00701F73"/>
    <w:rsid w:val="00703EE4"/>
    <w:rsid w:val="00704311"/>
    <w:rsid w:val="007051D4"/>
    <w:rsid w:val="00706E06"/>
    <w:rsid w:val="0071344F"/>
    <w:rsid w:val="0071780F"/>
    <w:rsid w:val="00725060"/>
    <w:rsid w:val="007262AD"/>
    <w:rsid w:val="00726931"/>
    <w:rsid w:val="00731EBF"/>
    <w:rsid w:val="007349D4"/>
    <w:rsid w:val="0074121F"/>
    <w:rsid w:val="00752539"/>
    <w:rsid w:val="007552DE"/>
    <w:rsid w:val="00760FDA"/>
    <w:rsid w:val="007616F9"/>
    <w:rsid w:val="007639FD"/>
    <w:rsid w:val="00766792"/>
    <w:rsid w:val="00772254"/>
    <w:rsid w:val="007764AA"/>
    <w:rsid w:val="007824CD"/>
    <w:rsid w:val="0078344B"/>
    <w:rsid w:val="007854EB"/>
    <w:rsid w:val="00790A15"/>
    <w:rsid w:val="00790A84"/>
    <w:rsid w:val="0079253F"/>
    <w:rsid w:val="00792B8B"/>
    <w:rsid w:val="00792E07"/>
    <w:rsid w:val="00793757"/>
    <w:rsid w:val="00794FC1"/>
    <w:rsid w:val="007A0246"/>
    <w:rsid w:val="007C1391"/>
    <w:rsid w:val="007D0CBD"/>
    <w:rsid w:val="007D2BD8"/>
    <w:rsid w:val="007D343F"/>
    <w:rsid w:val="007D69DA"/>
    <w:rsid w:val="007E3E7F"/>
    <w:rsid w:val="007E592A"/>
    <w:rsid w:val="007E687B"/>
    <w:rsid w:val="007E71E9"/>
    <w:rsid w:val="007F13E0"/>
    <w:rsid w:val="007F4F89"/>
    <w:rsid w:val="007F52FB"/>
    <w:rsid w:val="00801D1D"/>
    <w:rsid w:val="00802E30"/>
    <w:rsid w:val="008046E1"/>
    <w:rsid w:val="008109DF"/>
    <w:rsid w:val="0082344B"/>
    <w:rsid w:val="008251DC"/>
    <w:rsid w:val="00825361"/>
    <w:rsid w:val="00831E70"/>
    <w:rsid w:val="008410E6"/>
    <w:rsid w:val="00841489"/>
    <w:rsid w:val="00844668"/>
    <w:rsid w:val="00850974"/>
    <w:rsid w:val="00854702"/>
    <w:rsid w:val="0086070D"/>
    <w:rsid w:val="008705FA"/>
    <w:rsid w:val="00881815"/>
    <w:rsid w:val="00881E43"/>
    <w:rsid w:val="00881E9C"/>
    <w:rsid w:val="0088583E"/>
    <w:rsid w:val="008914EB"/>
    <w:rsid w:val="00893189"/>
    <w:rsid w:val="008974D5"/>
    <w:rsid w:val="008A2A5C"/>
    <w:rsid w:val="008B463A"/>
    <w:rsid w:val="008B5AC8"/>
    <w:rsid w:val="008C73FB"/>
    <w:rsid w:val="008C7502"/>
    <w:rsid w:val="008D3137"/>
    <w:rsid w:val="008D56EF"/>
    <w:rsid w:val="008E1A5F"/>
    <w:rsid w:val="008E1BDB"/>
    <w:rsid w:val="008E2411"/>
    <w:rsid w:val="008E508E"/>
    <w:rsid w:val="008E55F8"/>
    <w:rsid w:val="00900207"/>
    <w:rsid w:val="00901114"/>
    <w:rsid w:val="00906BFB"/>
    <w:rsid w:val="00910617"/>
    <w:rsid w:val="00910C9C"/>
    <w:rsid w:val="00913AE0"/>
    <w:rsid w:val="0092023C"/>
    <w:rsid w:val="009221E7"/>
    <w:rsid w:val="00927109"/>
    <w:rsid w:val="00931E43"/>
    <w:rsid w:val="0093348D"/>
    <w:rsid w:val="00935678"/>
    <w:rsid w:val="00940F05"/>
    <w:rsid w:val="00942C6A"/>
    <w:rsid w:val="009509CC"/>
    <w:rsid w:val="00951A41"/>
    <w:rsid w:val="00964DF6"/>
    <w:rsid w:val="00965FF4"/>
    <w:rsid w:val="009752B6"/>
    <w:rsid w:val="00982419"/>
    <w:rsid w:val="00984B70"/>
    <w:rsid w:val="009A193E"/>
    <w:rsid w:val="009A446A"/>
    <w:rsid w:val="009B5F27"/>
    <w:rsid w:val="009C46D9"/>
    <w:rsid w:val="009D254E"/>
    <w:rsid w:val="009D4FAD"/>
    <w:rsid w:val="009D6852"/>
    <w:rsid w:val="009F1587"/>
    <w:rsid w:val="009F1E44"/>
    <w:rsid w:val="00A07134"/>
    <w:rsid w:val="00A1565F"/>
    <w:rsid w:val="00A15F83"/>
    <w:rsid w:val="00A20A35"/>
    <w:rsid w:val="00A226C0"/>
    <w:rsid w:val="00A30E24"/>
    <w:rsid w:val="00A316F5"/>
    <w:rsid w:val="00A34053"/>
    <w:rsid w:val="00A374F8"/>
    <w:rsid w:val="00A4283C"/>
    <w:rsid w:val="00A43D94"/>
    <w:rsid w:val="00A44D2A"/>
    <w:rsid w:val="00A51393"/>
    <w:rsid w:val="00A578EB"/>
    <w:rsid w:val="00A57B64"/>
    <w:rsid w:val="00A57DC2"/>
    <w:rsid w:val="00A57FDB"/>
    <w:rsid w:val="00A646E0"/>
    <w:rsid w:val="00A73FEC"/>
    <w:rsid w:val="00A740BA"/>
    <w:rsid w:val="00A76CF6"/>
    <w:rsid w:val="00A85124"/>
    <w:rsid w:val="00A874FF"/>
    <w:rsid w:val="00A92DFD"/>
    <w:rsid w:val="00AA331F"/>
    <w:rsid w:val="00AA60D1"/>
    <w:rsid w:val="00AA7E90"/>
    <w:rsid w:val="00AC6800"/>
    <w:rsid w:val="00AD7502"/>
    <w:rsid w:val="00AE1591"/>
    <w:rsid w:val="00AE3EF1"/>
    <w:rsid w:val="00AF01FA"/>
    <w:rsid w:val="00AF7C9B"/>
    <w:rsid w:val="00B03CEE"/>
    <w:rsid w:val="00B07483"/>
    <w:rsid w:val="00B07C72"/>
    <w:rsid w:val="00B12274"/>
    <w:rsid w:val="00B21B02"/>
    <w:rsid w:val="00B31CF6"/>
    <w:rsid w:val="00B3341E"/>
    <w:rsid w:val="00B55A26"/>
    <w:rsid w:val="00B56C1C"/>
    <w:rsid w:val="00B65C6E"/>
    <w:rsid w:val="00B671B7"/>
    <w:rsid w:val="00B67585"/>
    <w:rsid w:val="00B77547"/>
    <w:rsid w:val="00B77C2E"/>
    <w:rsid w:val="00B829DE"/>
    <w:rsid w:val="00B84D37"/>
    <w:rsid w:val="00BA2203"/>
    <w:rsid w:val="00BA6081"/>
    <w:rsid w:val="00BB1999"/>
    <w:rsid w:val="00BC1448"/>
    <w:rsid w:val="00BC23A1"/>
    <w:rsid w:val="00BC6192"/>
    <w:rsid w:val="00BD0029"/>
    <w:rsid w:val="00BD561F"/>
    <w:rsid w:val="00BE6B90"/>
    <w:rsid w:val="00BF371E"/>
    <w:rsid w:val="00C00E7C"/>
    <w:rsid w:val="00C0164C"/>
    <w:rsid w:val="00C07F72"/>
    <w:rsid w:val="00C11214"/>
    <w:rsid w:val="00C13634"/>
    <w:rsid w:val="00C16DDC"/>
    <w:rsid w:val="00C26E77"/>
    <w:rsid w:val="00C32C8F"/>
    <w:rsid w:val="00C357C4"/>
    <w:rsid w:val="00C3779D"/>
    <w:rsid w:val="00C42EA4"/>
    <w:rsid w:val="00C43D45"/>
    <w:rsid w:val="00C47A3B"/>
    <w:rsid w:val="00C6062B"/>
    <w:rsid w:val="00C61B04"/>
    <w:rsid w:val="00C64B24"/>
    <w:rsid w:val="00C67E04"/>
    <w:rsid w:val="00C7507E"/>
    <w:rsid w:val="00C92553"/>
    <w:rsid w:val="00C9264C"/>
    <w:rsid w:val="00C93829"/>
    <w:rsid w:val="00C94AE9"/>
    <w:rsid w:val="00CA0C28"/>
    <w:rsid w:val="00CA4457"/>
    <w:rsid w:val="00CA69E1"/>
    <w:rsid w:val="00CC0CD9"/>
    <w:rsid w:val="00CC6227"/>
    <w:rsid w:val="00CC6B84"/>
    <w:rsid w:val="00CD1C15"/>
    <w:rsid w:val="00CD29FA"/>
    <w:rsid w:val="00CD4FF5"/>
    <w:rsid w:val="00CD6D68"/>
    <w:rsid w:val="00CD7D72"/>
    <w:rsid w:val="00CE13C2"/>
    <w:rsid w:val="00CE28DB"/>
    <w:rsid w:val="00CE72CF"/>
    <w:rsid w:val="00CF1FDA"/>
    <w:rsid w:val="00CF7A07"/>
    <w:rsid w:val="00D058C8"/>
    <w:rsid w:val="00D11632"/>
    <w:rsid w:val="00D136D5"/>
    <w:rsid w:val="00D13C58"/>
    <w:rsid w:val="00D14A9F"/>
    <w:rsid w:val="00D14D54"/>
    <w:rsid w:val="00D2075B"/>
    <w:rsid w:val="00D22430"/>
    <w:rsid w:val="00D3037A"/>
    <w:rsid w:val="00D47524"/>
    <w:rsid w:val="00D55B71"/>
    <w:rsid w:val="00D56E20"/>
    <w:rsid w:val="00D60A84"/>
    <w:rsid w:val="00D67E85"/>
    <w:rsid w:val="00D76C28"/>
    <w:rsid w:val="00D77EFB"/>
    <w:rsid w:val="00D813B1"/>
    <w:rsid w:val="00D8176C"/>
    <w:rsid w:val="00D82784"/>
    <w:rsid w:val="00D85413"/>
    <w:rsid w:val="00D96911"/>
    <w:rsid w:val="00DA7FED"/>
    <w:rsid w:val="00DB1B5D"/>
    <w:rsid w:val="00DB38CF"/>
    <w:rsid w:val="00DB4496"/>
    <w:rsid w:val="00DC0169"/>
    <w:rsid w:val="00DC1572"/>
    <w:rsid w:val="00DC3A59"/>
    <w:rsid w:val="00DC5308"/>
    <w:rsid w:val="00DD1BD3"/>
    <w:rsid w:val="00DD26F8"/>
    <w:rsid w:val="00DD28D0"/>
    <w:rsid w:val="00DD6B94"/>
    <w:rsid w:val="00DD70AC"/>
    <w:rsid w:val="00DE2B0C"/>
    <w:rsid w:val="00DE3673"/>
    <w:rsid w:val="00DF06AF"/>
    <w:rsid w:val="00DF4943"/>
    <w:rsid w:val="00E04B95"/>
    <w:rsid w:val="00E1072B"/>
    <w:rsid w:val="00E144D3"/>
    <w:rsid w:val="00E14DCF"/>
    <w:rsid w:val="00E1745F"/>
    <w:rsid w:val="00E306CD"/>
    <w:rsid w:val="00E33F02"/>
    <w:rsid w:val="00E37C95"/>
    <w:rsid w:val="00E41BFD"/>
    <w:rsid w:val="00E512A7"/>
    <w:rsid w:val="00E52485"/>
    <w:rsid w:val="00E52677"/>
    <w:rsid w:val="00E537C2"/>
    <w:rsid w:val="00E55C55"/>
    <w:rsid w:val="00E606C0"/>
    <w:rsid w:val="00E607B9"/>
    <w:rsid w:val="00E622B3"/>
    <w:rsid w:val="00E6599A"/>
    <w:rsid w:val="00E700F9"/>
    <w:rsid w:val="00E71BE0"/>
    <w:rsid w:val="00E8036E"/>
    <w:rsid w:val="00E9215F"/>
    <w:rsid w:val="00E927C9"/>
    <w:rsid w:val="00E96E1B"/>
    <w:rsid w:val="00EA1940"/>
    <w:rsid w:val="00EA322A"/>
    <w:rsid w:val="00EA47B4"/>
    <w:rsid w:val="00EB0314"/>
    <w:rsid w:val="00EB0A71"/>
    <w:rsid w:val="00EC64CC"/>
    <w:rsid w:val="00EC6E9F"/>
    <w:rsid w:val="00ED2723"/>
    <w:rsid w:val="00ED3088"/>
    <w:rsid w:val="00ED5A35"/>
    <w:rsid w:val="00ED7806"/>
    <w:rsid w:val="00ED79AD"/>
    <w:rsid w:val="00EE31D3"/>
    <w:rsid w:val="00EE5E03"/>
    <w:rsid w:val="00EE7C24"/>
    <w:rsid w:val="00EF3C17"/>
    <w:rsid w:val="00EF655E"/>
    <w:rsid w:val="00F0737C"/>
    <w:rsid w:val="00F110CA"/>
    <w:rsid w:val="00F11F12"/>
    <w:rsid w:val="00F146B1"/>
    <w:rsid w:val="00F15A84"/>
    <w:rsid w:val="00F249C3"/>
    <w:rsid w:val="00F2665E"/>
    <w:rsid w:val="00F272A3"/>
    <w:rsid w:val="00F325FD"/>
    <w:rsid w:val="00F32A8A"/>
    <w:rsid w:val="00F366D1"/>
    <w:rsid w:val="00F40C88"/>
    <w:rsid w:val="00F42D92"/>
    <w:rsid w:val="00F50853"/>
    <w:rsid w:val="00F61644"/>
    <w:rsid w:val="00F617F3"/>
    <w:rsid w:val="00F6718A"/>
    <w:rsid w:val="00F75DAB"/>
    <w:rsid w:val="00F7721F"/>
    <w:rsid w:val="00F7773B"/>
    <w:rsid w:val="00F838E9"/>
    <w:rsid w:val="00F842A7"/>
    <w:rsid w:val="00F8476D"/>
    <w:rsid w:val="00F853F4"/>
    <w:rsid w:val="00F93086"/>
    <w:rsid w:val="00F94324"/>
    <w:rsid w:val="00FA0812"/>
    <w:rsid w:val="00FA1FA5"/>
    <w:rsid w:val="00FA30F7"/>
    <w:rsid w:val="00FA491B"/>
    <w:rsid w:val="00FB7E30"/>
    <w:rsid w:val="00FC0D96"/>
    <w:rsid w:val="00FC3731"/>
    <w:rsid w:val="00FC3C1E"/>
    <w:rsid w:val="00FD181E"/>
    <w:rsid w:val="00FE7DB0"/>
    <w:rsid w:val="00FF4CC9"/>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styleId="PlainText">
    <w:name w:val="Plain Text"/>
    <w:basedOn w:val="Normal"/>
    <w:link w:val="PlainTextChar"/>
    <w:uiPriority w:val="99"/>
    <w:unhideWhenUsed/>
    <w:rsid w:val="00E33F02"/>
    <w:pPr>
      <w:autoSpaceDE/>
      <w:autoSpaceDN/>
      <w:adjustRightInd/>
      <w:snapToGrid/>
      <w:spacing w:after="0"/>
      <w:jc w:val="left"/>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E33F02"/>
    <w:rPr>
      <w:rFonts w:ascii="Consolas" w:hAnsi="Consolas"/>
      <w:sz w:val="21"/>
      <w:szCs w:val="21"/>
    </w:rPr>
  </w:style>
  <w:style w:type="paragraph" w:customStyle="1" w:styleId="Tabletext">
    <w:name w:val="Table_text"/>
    <w:basedOn w:val="Normal"/>
    <w:link w:val="TabletextChar"/>
    <w:qFormat/>
    <w:rsid w:val="00E33F0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E33F02"/>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png@01D46F55.8C54D4A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cid:image001.png@01D46F55.8C54D4A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2E2AA-474D-42D0-BCEB-00B4F52BA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1541</Words>
  <Characters>9140</Characters>
  <Application>Microsoft Office Word</Application>
  <DocSecurity>0</DocSecurity>
  <Lines>191</Lines>
  <Paragraphs>106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4</cp:revision>
  <dcterms:created xsi:type="dcterms:W3CDTF">2018-11-03T05:28:00Z</dcterms:created>
  <dcterms:modified xsi:type="dcterms:W3CDTF">2018-11-03T05:30:00Z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78a83dd9-9736-4cd0-88c7-4f534292a5af</vt:lpwstr>
  </property>
  <property fmtid="{D5CDD505-2E9C-101B-9397-08002B2CF9AE}" pid="3" name="CTP_TimeStamp">
    <vt:lpwstr>2018-11-03 05:30:24Z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